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466994"/>
        <w:docPartObj>
          <w:docPartGallery w:val="Cover Pages"/>
          <w:docPartUnique/>
        </w:docPartObj>
      </w:sdtPr>
      <w:sdtEndPr>
        <w:rPr>
          <w:noProof/>
          <w:color w:val="auto"/>
          <w:sz w:val="20"/>
          <w:szCs w:val="20"/>
          <w:lang w:val="en-US"/>
        </w:rPr>
      </w:sdtEndPr>
      <w:sdtContent>
        <w:p w:rsidR="00A75C24" w:rsidRDefault="00E164C5">
          <w:pPr>
            <w:jc w:val="right"/>
            <w:rPr>
              <w:color w:val="7F7F7F" w:themeColor="text1" w:themeTint="80"/>
              <w:sz w:val="32"/>
              <w:szCs w:val="32"/>
            </w:rPr>
          </w:pPr>
          <w:r>
            <w:rPr>
              <w:noProof/>
              <w:color w:val="C4BC96" w:themeColor="background2" w:themeShade="BF"/>
              <w:sz w:val="32"/>
              <w:szCs w:val="32"/>
              <w:lang w:eastAsia="tr-TR"/>
            </w:rPr>
            <w:drawing>
              <wp:anchor distT="0" distB="0" distL="114300" distR="114300" simplePos="0" relativeHeight="251663360" behindDoc="0" locked="0" layoutInCell="1" allowOverlap="1">
                <wp:simplePos x="0" y="0"/>
                <wp:positionH relativeFrom="column">
                  <wp:posOffset>21590</wp:posOffset>
                </wp:positionH>
                <wp:positionV relativeFrom="paragraph">
                  <wp:posOffset>397510</wp:posOffset>
                </wp:positionV>
                <wp:extent cx="3957955" cy="1933575"/>
                <wp:effectExtent l="171450" t="133350" r="366395" b="314325"/>
                <wp:wrapNone/>
                <wp:docPr id="12" name="Picture 9" descr="call for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for paper logo.jpg"/>
                        <pic:cNvPicPr/>
                      </pic:nvPicPr>
                      <pic:blipFill>
                        <a:blip r:embed="rId8" cstate="print"/>
                        <a:stretch>
                          <a:fillRect/>
                        </a:stretch>
                      </pic:blipFill>
                      <pic:spPr>
                        <a:xfrm>
                          <a:off x="0" y="0"/>
                          <a:ext cx="3957955" cy="1933575"/>
                        </a:xfrm>
                        <a:prstGeom prst="rect">
                          <a:avLst/>
                        </a:prstGeom>
                        <a:ln>
                          <a:noFill/>
                        </a:ln>
                        <a:effectLst>
                          <a:outerShdw blurRad="292100" dist="139700" dir="2700000" algn="tl" rotWithShape="0">
                            <a:srgbClr val="333333">
                              <a:alpha val="65000"/>
                            </a:srgbClr>
                          </a:outerShdw>
                        </a:effectLst>
                      </pic:spPr>
                    </pic:pic>
                  </a:graphicData>
                </a:graphic>
              </wp:anchor>
            </w:drawing>
          </w:r>
          <w:r w:rsidR="00883DFA">
            <w:rPr>
              <w:noProof/>
              <w:color w:val="C4BC96" w:themeColor="background2" w:themeShade="BF"/>
              <w:sz w:val="32"/>
              <w:szCs w:val="32"/>
              <w:lang w:eastAsia="tr-TR"/>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5760720" cy="84613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461375"/>
                              <a:chOff x="0" y="0"/>
                              <a:chExt cx="12240" cy="15840"/>
                            </a:xfrm>
                          </wpg:grpSpPr>
                          <wps:wsp>
                            <wps:cNvPr id="4"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453.6pt;height:666.2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RMQA&#10;AADaAAAADwAAAGRycy9kb3ducmV2LnhtbESPzWrDMBCE74W8g9hAb42cpjbBjRISQ8CFUPLTQ4+L&#10;tbVNrJWR1Nh9+6hQ6HGYmW+Y1WY0nbiR861lBfNZAoK4srrlWsHHZf+0BOEDssbOMin4IQ+b9eRh&#10;hbm2A5/odg61iBD2OSpoQuhzKX3VkEE/sz1x9L6sMxiidLXUDocIN518TpJMGmw5LjTYU9FQdT1/&#10;GwXFp5MpLQ9lO+q3xXsw2XGXZko9TsftK4hAY/gP/7VLreAF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Y0TEAAAA2gAAAA8AAAAAAAAAAAAAAAAAmAIAAGRycy9k&#10;b3ducmV2LnhtbFBLBQYAAAAABAAEAPUAAACJ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ny8MA&#10;AADaAAAADwAAAGRycy9kb3ducmV2LnhtbESPT4vCMBTE74LfITxhb5oqrE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ny8MAAADaAAAADwAAAAAAAAAAAAAAAACYAgAAZHJzL2Rv&#10;d25yZXYueG1sUEsFBgAAAAAEAAQA9QAAAIgDAAAAAA==&#10;" fillcolor="white [3212]" stroked="f"/>
                    <w10:wrap anchorx="page" anchory="page"/>
                  </v:group>
                </w:pict>
              </mc:Fallback>
            </mc:AlternateContent>
          </w:r>
        </w:p>
        <w:p w:rsidR="00A75C24" w:rsidRDefault="00A75C24">
          <w:pPr>
            <w:jc w:val="right"/>
            <w:rPr>
              <w:color w:val="7F7F7F" w:themeColor="text1" w:themeTint="80"/>
              <w:sz w:val="32"/>
              <w:szCs w:val="32"/>
            </w:rPr>
          </w:pPr>
        </w:p>
        <w:tbl>
          <w:tblPr>
            <w:tblStyle w:val="LightShading-Accent4"/>
            <w:tblpPr w:leftFromText="187" w:rightFromText="187" w:vertAnchor="page" w:horzAnchor="margin" w:tblpY="8098"/>
            <w:tblW w:w="0" w:type="auto"/>
            <w:tblLook w:val="04A0" w:firstRow="1" w:lastRow="0" w:firstColumn="1" w:lastColumn="0" w:noHBand="0" w:noVBand="1"/>
          </w:tblPr>
          <w:tblGrid>
            <w:gridCol w:w="6454"/>
          </w:tblGrid>
          <w:tr w:rsidR="00E164C5" w:rsidTr="00E164C5">
            <w:trPr>
              <w:cnfStyle w:val="100000000000" w:firstRow="1" w:lastRow="0" w:firstColumn="0" w:lastColumn="0" w:oddVBand="0" w:evenVBand="0" w:oddHBand="0"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6454" w:type="dxa"/>
              </w:tcPr>
              <w:p w:rsidR="00E164C5" w:rsidRDefault="00883DFA" w:rsidP="00E164C5">
                <w:pPr>
                  <w:pStyle w:val="NoSpacing"/>
                  <w:jc w:val="center"/>
                  <w:rPr>
                    <w:color w:val="7F7F7F" w:themeColor="text1" w:themeTint="80"/>
                    <w:sz w:val="32"/>
                    <w:szCs w:val="32"/>
                  </w:rPr>
                </w:pPr>
                <w:sdt>
                  <w:sdtPr>
                    <w:rPr>
                      <w:noProof/>
                      <w:sz w:val="28"/>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noProof/>
                        <w:sz w:val="28"/>
                        <w:lang w:val="tr-TR"/>
                      </w:rPr>
                      <w:t>‘Üniversitelerde Cinsel Tacizi Engellemek Adına    Neler Yapılabilir?’</w:t>
                    </w:r>
                  </w:sdtContent>
                </w:sdt>
                <w:r w:rsidR="00E164C5">
                  <w:rPr>
                    <w:color w:val="7F7F7F" w:themeColor="text1" w:themeTint="80"/>
                    <w:sz w:val="32"/>
                    <w:szCs w:val="32"/>
                  </w:rPr>
                  <w:t xml:space="preserve"> </w:t>
                </w:r>
              </w:p>
              <w:p w:rsidR="00E164C5" w:rsidRDefault="00E164C5" w:rsidP="00E164C5">
                <w:pPr>
                  <w:pStyle w:val="NoSpacing"/>
                  <w:jc w:val="center"/>
                  <w:rPr>
                    <w:color w:val="7F7F7F" w:themeColor="text1" w:themeTint="80"/>
                    <w:sz w:val="32"/>
                    <w:szCs w:val="32"/>
                  </w:rPr>
                </w:pPr>
                <w:r>
                  <w:rPr>
                    <w:color w:val="7F7F7F" w:themeColor="text1" w:themeTint="80"/>
                    <w:sz w:val="32"/>
                    <w:szCs w:val="32"/>
                  </w:rPr>
                  <w:t xml:space="preserve"> </w:t>
                </w:r>
                <w:sdt>
                  <w:sdtPr>
                    <w:rPr>
                      <w:color w:val="0D0D0D" w:themeColor="text1" w:themeTint="F2"/>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883DFA">
                      <w:rPr>
                        <w:color w:val="0D0D0D" w:themeColor="text1" w:themeTint="F2"/>
                        <w:sz w:val="32"/>
                        <w:szCs w:val="32"/>
                        <w:lang w:val="tr-TR"/>
                      </w:rPr>
                      <w:t>Doğu Akdeniz Üniversitesi</w:t>
                    </w:r>
                  </w:sdtContent>
                </w:sdt>
              </w:p>
            </w:tc>
          </w:tr>
        </w:tbl>
        <w:p w:rsidR="00A75C24" w:rsidRDefault="00883DFA" w:rsidP="00A75C24">
          <w:pPr>
            <w:rPr>
              <w:noProof/>
              <w:lang w:val="en-US"/>
            </w:rPr>
          </w:pPr>
          <w:r>
            <w:rPr>
              <w:noProof/>
              <w:sz w:val="22"/>
              <w:szCs w:val="22"/>
              <w:lang w:eastAsia="tr-TR"/>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4458970</wp:posOffset>
                    </wp:positionV>
                    <wp:extent cx="4805045" cy="1892300"/>
                    <wp:effectExtent l="0" t="127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4C5" w:rsidRDefault="00FB3026" w:rsidP="00FB3026">
                                <w:pPr>
                                  <w:jc w:val="center"/>
                                </w:pPr>
                                <w:r>
                                  <w:t xml:space="preserve">26 </w:t>
                                </w:r>
                                <w:r w:rsidR="00794D9D">
                                  <w:t>Mart</w:t>
                                </w:r>
                                <w:r w:rsidR="00E164C5">
                                  <w:t xml:space="preserve"> 2015</w:t>
                                </w:r>
                              </w:p>
                              <w:p w:rsidR="00FB3026" w:rsidRDefault="00883DFA">
                                <w:sdt>
                                  <w:sdtPr>
                                    <w:rPr>
                                      <w:rFonts w:ascii="Times New Roman" w:hAnsi="Times New Roman"/>
                                      <w:sz w:val="24"/>
                                    </w:rPr>
                                    <w:alias w:val="Abstract"/>
                                    <w:id w:val="276713183"/>
                                    <w:dataBinding w:prefixMappings="xmlns:ns0='http://schemas.microsoft.com/office/2006/coverPageProps'" w:xpath="/ns0:CoverPageProperties[1]/ns0:Abstract[1]" w:storeItemID="{55AF091B-3C7A-41E3-B477-F2FDAA23CFDA}"/>
                                    <w:text/>
                                  </w:sdtPr>
                                  <w:sdtEndPr/>
                                  <w:sdtContent>
                                    <w:r>
                                      <w:rPr>
                                        <w:rFonts w:ascii="Times New Roman" w:hAnsi="Times New Roman"/>
                                        <w:sz w:val="24"/>
                                      </w:rPr>
                                      <w:t xml:space="preserve">Çalıştayda; </w:t>
                                    </w:r>
                                    <w:r w:rsidR="00FB3026" w:rsidRPr="007C5262">
                                      <w:rPr>
                                        <w:rFonts w:ascii="Times New Roman" w:hAnsi="Times New Roman"/>
                                        <w:sz w:val="24"/>
                                      </w:rPr>
                                      <w:t>29 Mayıs Üniversitesi, Akdeniz Üniversitesi, Ankara Üniversitesi, Boğaziçi Üniversitesi, Çukurova üniversitesi, Dokuz Eylül Üniversitesi, Ege Üniversitesi, Koç Üniversitesi, Eskişehir Osmangazi Üniversitesi, Hacettepe Üniversitesi, İnönü Üniversitesi, İstanbul Teknik Üniversitesi, İzmir Üniversitesi,  Karamanoğlu Mehmet Bey Üniversitesi, Kıbrıs Feminist Atölyesi, Kocaeli Üniversitesi, Sabancı Üniversitesi,  Yalova Üniversitesi’nden katılımcılar yer aldı.</w:t>
                                    </w:r>
                                  </w:sdtContent>
                                </w:sdt>
                              </w:p>
                              <w:p w:rsidR="00FB3026" w:rsidRDefault="00883DFA">
                                <w:sdt>
                                  <w:sdtPr>
                                    <w:rPr>
                                      <w:rFonts w:ascii="Times New Roman" w:hAnsi="Times New Roman"/>
                                      <w:sz w:val="24"/>
                                    </w:rPr>
                                    <w:alias w:val="Abstract"/>
                                    <w:id w:val="11182950"/>
                                    <w:dataBinding w:prefixMappings="xmlns:ns0='http://schemas.microsoft.com/office/2006/coverPageProps'" w:xpath="/ns0:CoverPageProperties[1]/ns0:Abstract[1]" w:storeItemID="{55AF091B-3C7A-41E3-B477-F2FDAA23CFDA}"/>
                                    <w:text/>
                                  </w:sdtPr>
                                  <w:sdtEndPr/>
                                  <w:sdtContent>
                                    <w:r>
                                      <w:rPr>
                                        <w:rFonts w:ascii="Times New Roman" w:hAnsi="Times New Roman"/>
                                        <w:sz w:val="24"/>
                                      </w:rPr>
                                      <w:t>Çalıştayda; 29 Mayıs Üniversitesi, Akdeniz Üniversitesi, Ankara Üniversitesi, Boğaziçi Üniversitesi, Çukurova üniversitesi, Dokuz Eylül Üniversitesi, Ege Üniversitesi, Koç Üniversitesi, Eskişehir Osmangazi Üniversitesi, Hacettepe Üniversitesi, İnönü Üniversitesi, İstanbul Teknik Üniversitesi, İzmir Üniversitesi,  Karamanoğlu Mehmet Bey Üniversitesi, Kıbrıs Feminist Atölyesi, Kocaeli Üniversitesi, Sabancı Üniversitesi,  Yalova Üniversitesi’nden katılımcılar yer aldı.</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2pt;margin-top:351.1pt;width:378.3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Mgw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" stroked="f">
                    <v:textbox>
                      <w:txbxContent>
                        <w:p w:rsidR="00E164C5" w:rsidRDefault="00FB3026" w:rsidP="00FB3026">
                          <w:pPr>
                            <w:jc w:val="center"/>
                          </w:pPr>
                          <w:r>
                            <w:t xml:space="preserve">26 </w:t>
                          </w:r>
                          <w:r w:rsidR="00794D9D">
                            <w:t>Mart</w:t>
                          </w:r>
                          <w:r w:rsidR="00E164C5">
                            <w:t xml:space="preserve"> 2015</w:t>
                          </w:r>
                        </w:p>
                        <w:p w:rsidR="00FB3026" w:rsidRDefault="00883DFA">
                          <w:sdt>
                            <w:sdtPr>
                              <w:rPr>
                                <w:rFonts w:ascii="Times New Roman" w:hAnsi="Times New Roman"/>
                                <w:sz w:val="24"/>
                              </w:rPr>
                              <w:alias w:val="Abstract"/>
                              <w:id w:val="276713183"/>
                              <w:dataBinding w:prefixMappings="xmlns:ns0='http://schemas.microsoft.com/office/2006/coverPageProps'" w:xpath="/ns0:CoverPageProperties[1]/ns0:Abstract[1]" w:storeItemID="{55AF091B-3C7A-41E3-B477-F2FDAA23CFDA}"/>
                              <w:text/>
                            </w:sdtPr>
                            <w:sdtEndPr/>
                            <w:sdtContent>
                              <w:r>
                                <w:rPr>
                                  <w:rFonts w:ascii="Times New Roman" w:hAnsi="Times New Roman"/>
                                  <w:sz w:val="24"/>
                                </w:rPr>
                                <w:t xml:space="preserve">Çalıştayda; </w:t>
                              </w:r>
                              <w:r w:rsidR="00FB3026" w:rsidRPr="007C5262">
                                <w:rPr>
                                  <w:rFonts w:ascii="Times New Roman" w:hAnsi="Times New Roman"/>
                                  <w:sz w:val="24"/>
                                </w:rPr>
                                <w:t>29 Mayıs Üniversitesi, Akdeniz Üniversitesi, Ankara Üniversitesi, Boğaziçi Üniversitesi, Çukurova üniversitesi, Dokuz Eylül Üniversitesi, Ege Üniversitesi, Koç Üniversitesi, Eskişehir Osmangazi Üniversitesi, Hacettepe Üniversitesi, İnönü Üniversitesi, İstanbul Teknik Üniversitesi, İzmir Üniversitesi,  Karamanoğlu Mehmet Bey Üniversitesi, Kıbrıs Feminist Atölyesi, Kocaeli Üniversitesi, Sabancı Üniversitesi,  Yalova Üniversitesi’nden katılımcılar yer aldı.</w:t>
                              </w:r>
                            </w:sdtContent>
                          </w:sdt>
                        </w:p>
                        <w:p w:rsidR="00FB3026" w:rsidRDefault="00883DFA">
                          <w:sdt>
                            <w:sdtPr>
                              <w:rPr>
                                <w:rFonts w:ascii="Times New Roman" w:hAnsi="Times New Roman"/>
                                <w:sz w:val="24"/>
                              </w:rPr>
                              <w:alias w:val="Abstract"/>
                              <w:id w:val="11182950"/>
                              <w:dataBinding w:prefixMappings="xmlns:ns0='http://schemas.microsoft.com/office/2006/coverPageProps'" w:xpath="/ns0:CoverPageProperties[1]/ns0:Abstract[1]" w:storeItemID="{55AF091B-3C7A-41E3-B477-F2FDAA23CFDA}"/>
                              <w:text/>
                            </w:sdtPr>
                            <w:sdtEndPr/>
                            <w:sdtContent>
                              <w:r>
                                <w:rPr>
                                  <w:rFonts w:ascii="Times New Roman" w:hAnsi="Times New Roman"/>
                                  <w:sz w:val="24"/>
                                </w:rPr>
                                <w:t>Çalıştayda; 29 Mayıs Üniversitesi, Akdeniz Üniversitesi, Ankara Üniversitesi, Boğaziçi Üniversitesi, Çukurova üniversitesi, Dokuz Eylül Üniversitesi, Ege Üniversitesi, Koç Üniversitesi, Eskişehir Osmangazi Üniversitesi, Hacettepe Üniversitesi, İnönü Üniversitesi, İstanbul Teknik Üniversitesi, İzmir Üniversitesi,  Karamanoğlu Mehmet Bey Üniversitesi, Kıbrıs Feminist Atölyesi, Kocaeli Üniversitesi, Sabancı Üniversitesi,  Yalova Üniversitesi’nden katılımcılar yer aldı.</w:t>
                              </w:r>
                            </w:sdtContent>
                          </w:sdt>
                        </w:p>
                      </w:txbxContent>
                    </v:textbox>
                  </v:shape>
                </w:pict>
              </mc:Fallback>
            </mc:AlternateContent>
          </w:r>
          <w:r>
            <w:rPr>
              <w:noProof/>
              <w:color w:val="C4BC96" w:themeColor="background2" w:themeShade="BF"/>
              <w:sz w:val="32"/>
              <w:szCs w:val="32"/>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5179060" cy="694690"/>
                    <wp:effectExtent l="0" t="0" r="5715"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060" cy="694690"/>
                            </a:xfrm>
                            <a:prstGeom prst="rect">
                              <a:avLst/>
                            </a:prstGeom>
                            <a:solidFill>
                              <a:schemeClr val="tx1">
                                <a:lumMod val="50000"/>
                                <a:lumOff val="5000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784"/>
                                  <w:gridCol w:w="7387"/>
                                </w:tblGrid>
                                <w:tr w:rsidR="00FB3026" w:rsidTr="00A75C24">
                                  <w:trPr>
                                    <w:trHeight w:val="1080"/>
                                  </w:trPr>
                                  <w:tc>
                                    <w:tcPr>
                                      <w:tcW w:w="480" w:type="pct"/>
                                      <w:shd w:val="clear" w:color="auto" w:fill="000000" w:themeFill="text1"/>
                                      <w:vAlign w:val="center"/>
                                    </w:tcPr>
                                    <w:p w:rsidR="00A75C24" w:rsidRDefault="00A75C24" w:rsidP="00A75C24">
                                      <w:pPr>
                                        <w:pStyle w:val="NoSpacing"/>
                                        <w:rPr>
                                          <w:smallCaps/>
                                          <w:sz w:val="40"/>
                                          <w:szCs w:val="40"/>
                                        </w:rPr>
                                      </w:pPr>
                                    </w:p>
                                  </w:tc>
                                  <w:sdt>
                                    <w:sdtPr>
                                      <w:rPr>
                                        <w:smallCaps/>
                                        <w:color w:val="FFFFFF" w:themeColor="background1"/>
                                        <w:sz w:val="56"/>
                                        <w:szCs w:val="48"/>
                                      </w:rPr>
                                      <w:alias w:val="Title"/>
                                      <w:id w:val="467085"/>
                                      <w:dataBinding w:prefixMappings="xmlns:ns0='http://schemas.openxmlformats.org/package/2006/metadata/core-properties' xmlns:ns1='http://purl.org/dc/elements/1.1/'" w:xpath="/ns0:coreProperties[1]/ns1:title[1]" w:storeItemID="{6C3C8BC8-F283-45AE-878A-BAB7291924A1}"/>
                                      <w:text/>
                                    </w:sdtPr>
                                    <w:sdtEndPr/>
                                    <w:sdtContent>
                                      <w:tc>
                                        <w:tcPr>
                                          <w:tcW w:w="4520" w:type="pct"/>
                                          <w:shd w:val="clear" w:color="auto" w:fill="auto"/>
                                          <w:vAlign w:val="center"/>
                                        </w:tcPr>
                                        <w:p w:rsidR="00A75C24" w:rsidRDefault="00A75C24" w:rsidP="00A75C24">
                                          <w:pPr>
                                            <w:pStyle w:val="NoSpacing"/>
                                            <w:rPr>
                                              <w:smallCaps/>
                                              <w:color w:val="FFFFFF" w:themeColor="background1"/>
                                              <w:sz w:val="48"/>
                                              <w:szCs w:val="48"/>
                                            </w:rPr>
                                          </w:pPr>
                                          <w:r>
                                            <w:rPr>
                                              <w:smallCaps/>
                                              <w:color w:val="FFFFFF" w:themeColor="background1"/>
                                              <w:sz w:val="56"/>
                                              <w:szCs w:val="48"/>
                                            </w:rPr>
                                            <w:t>7</w:t>
                                          </w:r>
                                          <w:r w:rsidRPr="00A75C24">
                                            <w:rPr>
                                              <w:smallCaps/>
                                              <w:color w:val="FFFFFF" w:themeColor="background1"/>
                                              <w:sz w:val="56"/>
                                              <w:szCs w:val="48"/>
                                            </w:rPr>
                                            <w:t>. CTS Çalıştay Raporu</w:t>
                                          </w:r>
                                        </w:p>
                                      </w:tc>
                                    </w:sdtContent>
                                  </w:sdt>
                                </w:tr>
                              </w:tbl>
                              <w:p w:rsidR="00A75C24" w:rsidRDefault="00A75C24">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7" style="position:absolute;margin-left:0;margin-top:0;width:407.8pt;height:54.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" o:allowincell="f" fillcolor="gray [1629]"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784"/>
                            <w:gridCol w:w="7387"/>
                          </w:tblGrid>
                          <w:tr w:rsidR="00FB3026" w:rsidTr="00A75C24">
                            <w:trPr>
                              <w:trHeight w:val="1080"/>
                            </w:trPr>
                            <w:tc>
                              <w:tcPr>
                                <w:tcW w:w="480" w:type="pct"/>
                                <w:shd w:val="clear" w:color="auto" w:fill="000000" w:themeFill="text1"/>
                                <w:vAlign w:val="center"/>
                              </w:tcPr>
                              <w:p w:rsidR="00A75C24" w:rsidRDefault="00A75C24" w:rsidP="00A75C24">
                                <w:pPr>
                                  <w:pStyle w:val="NoSpacing"/>
                                  <w:rPr>
                                    <w:smallCaps/>
                                    <w:sz w:val="40"/>
                                    <w:szCs w:val="40"/>
                                  </w:rPr>
                                </w:pPr>
                              </w:p>
                            </w:tc>
                            <w:sdt>
                              <w:sdtPr>
                                <w:rPr>
                                  <w:smallCaps/>
                                  <w:color w:val="FFFFFF" w:themeColor="background1"/>
                                  <w:sz w:val="56"/>
                                  <w:szCs w:val="48"/>
                                </w:rPr>
                                <w:alias w:val="Title"/>
                                <w:id w:val="467085"/>
                                <w:dataBinding w:prefixMappings="xmlns:ns0='http://schemas.openxmlformats.org/package/2006/metadata/core-properties' xmlns:ns1='http://purl.org/dc/elements/1.1/'" w:xpath="/ns0:coreProperties[1]/ns1:title[1]" w:storeItemID="{6C3C8BC8-F283-45AE-878A-BAB7291924A1}"/>
                                <w:text/>
                              </w:sdtPr>
                              <w:sdtEndPr/>
                              <w:sdtContent>
                                <w:tc>
                                  <w:tcPr>
                                    <w:tcW w:w="4520" w:type="pct"/>
                                    <w:shd w:val="clear" w:color="auto" w:fill="auto"/>
                                    <w:vAlign w:val="center"/>
                                  </w:tcPr>
                                  <w:p w:rsidR="00A75C24" w:rsidRDefault="00A75C24" w:rsidP="00A75C24">
                                    <w:pPr>
                                      <w:pStyle w:val="NoSpacing"/>
                                      <w:rPr>
                                        <w:smallCaps/>
                                        <w:color w:val="FFFFFF" w:themeColor="background1"/>
                                        <w:sz w:val="48"/>
                                        <w:szCs w:val="48"/>
                                      </w:rPr>
                                    </w:pPr>
                                    <w:r>
                                      <w:rPr>
                                        <w:smallCaps/>
                                        <w:color w:val="FFFFFF" w:themeColor="background1"/>
                                        <w:sz w:val="56"/>
                                        <w:szCs w:val="48"/>
                                      </w:rPr>
                                      <w:t>7</w:t>
                                    </w:r>
                                    <w:r w:rsidRPr="00A75C24">
                                      <w:rPr>
                                        <w:smallCaps/>
                                        <w:color w:val="FFFFFF" w:themeColor="background1"/>
                                        <w:sz w:val="56"/>
                                        <w:szCs w:val="48"/>
                                      </w:rPr>
                                      <w:t>. CTS Çalıştay Raporu</w:t>
                                    </w:r>
                                  </w:p>
                                </w:tc>
                              </w:sdtContent>
                            </w:sdt>
                          </w:tr>
                        </w:tbl>
                        <w:p w:rsidR="00A75C24" w:rsidRDefault="00A75C24">
                          <w:pPr>
                            <w:pStyle w:val="NoSpacing"/>
                            <w:spacing w:line="14" w:lineRule="exact"/>
                          </w:pPr>
                        </w:p>
                      </w:txbxContent>
                    </v:textbox>
                    <w10:wrap anchorx="page" anchory="page"/>
                  </v:rect>
                </w:pict>
              </mc:Fallback>
            </mc:AlternateContent>
          </w:r>
          <w:r w:rsidR="00A75C24">
            <w:rPr>
              <w:noProof/>
              <w:lang w:val="en-US"/>
            </w:rPr>
            <w:br w:type="page"/>
          </w:r>
        </w:p>
        <w:p w:rsidR="00A75C24" w:rsidRPr="00C93311" w:rsidRDefault="00A75C24" w:rsidP="008819BE">
          <w:pPr>
            <w:jc w:val="center"/>
            <w:rPr>
              <w:rFonts w:asciiTheme="majorHAnsi" w:hAnsiTheme="majorHAnsi"/>
              <w:b/>
              <w:noProof/>
              <w:sz w:val="24"/>
              <w:lang w:val="en-US"/>
            </w:rPr>
          </w:pPr>
          <w:r w:rsidRPr="00C93311">
            <w:rPr>
              <w:rFonts w:asciiTheme="majorHAnsi" w:hAnsiTheme="majorHAnsi"/>
              <w:b/>
              <w:noProof/>
              <w:sz w:val="24"/>
              <w:lang w:val="en-US"/>
            </w:rPr>
            <w:lastRenderedPageBreak/>
            <w:t>Doğu Akdeniz Üniversitesi</w:t>
          </w:r>
        </w:p>
        <w:p w:rsidR="00A75C24" w:rsidRPr="00CC14AB" w:rsidRDefault="00CC14AB" w:rsidP="00CC14AB">
          <w:pPr>
            <w:jc w:val="center"/>
            <w:rPr>
              <w:noProof/>
              <w:lang w:val="en-US"/>
            </w:rPr>
          </w:pPr>
          <w:r>
            <w:rPr>
              <w:rFonts w:asciiTheme="majorHAnsi" w:hAnsiTheme="majorHAnsi"/>
              <w:b/>
              <w:noProof/>
              <w:color w:val="7030A0"/>
              <w:sz w:val="28"/>
              <w:lang w:val="en-US"/>
            </w:rPr>
            <w:t>7.</w:t>
          </w:r>
          <w:r w:rsidR="00A75C24" w:rsidRPr="00CC14AB">
            <w:rPr>
              <w:rFonts w:asciiTheme="majorHAnsi" w:hAnsiTheme="majorHAnsi"/>
              <w:b/>
              <w:noProof/>
              <w:color w:val="7030A0"/>
              <w:sz w:val="28"/>
              <w:lang w:val="en-US"/>
            </w:rPr>
            <w:t>‘Üniversitelerde Cinsel Tacizi Engellemek Adına Neler Yapılabilir?’ Çalıştayı</w:t>
          </w:r>
        </w:p>
      </w:sdtContent>
    </w:sdt>
    <w:p w:rsidR="009F62FC" w:rsidRPr="00FB3026" w:rsidRDefault="00A75C24" w:rsidP="00FB3026">
      <w:pPr>
        <w:rPr>
          <w:rFonts w:asciiTheme="majorHAnsi" w:hAnsiTheme="majorHAnsi"/>
          <w:b/>
          <w:sz w:val="24"/>
          <w:szCs w:val="24"/>
        </w:rPr>
      </w:pPr>
      <w:r w:rsidRPr="00FB3026">
        <w:rPr>
          <w:rFonts w:asciiTheme="majorHAnsi" w:hAnsiTheme="majorHAnsi"/>
          <w:b/>
          <w:sz w:val="24"/>
          <w:szCs w:val="24"/>
        </w:rPr>
        <w:t xml:space="preserve">Çalıştayda birimler/merkezler </w:t>
      </w:r>
      <w:r w:rsidR="00FB3026" w:rsidRPr="00FB3026">
        <w:rPr>
          <w:rFonts w:asciiTheme="majorHAnsi" w:hAnsiTheme="majorHAnsi"/>
          <w:b/>
          <w:sz w:val="24"/>
          <w:szCs w:val="24"/>
        </w:rPr>
        <w:t xml:space="preserve"> veya bu yolda ilerleyen üniversiteler </w:t>
      </w:r>
      <w:r w:rsidRPr="00FB3026">
        <w:rPr>
          <w:rFonts w:asciiTheme="majorHAnsi" w:hAnsiTheme="majorHAnsi"/>
          <w:b/>
          <w:sz w:val="24"/>
          <w:szCs w:val="24"/>
        </w:rPr>
        <w:t>için  yapılması önerilen, tavsiye edilenler.</w:t>
      </w:r>
    </w:p>
    <w:p w:rsidR="00F03155" w:rsidRPr="00FB3026" w:rsidRDefault="00F03155" w:rsidP="00723C81">
      <w:pPr>
        <w:pStyle w:val="ListParagraph"/>
        <w:numPr>
          <w:ilvl w:val="0"/>
          <w:numId w:val="2"/>
        </w:numPr>
        <w:ind w:left="284" w:firstLine="0"/>
        <w:jc w:val="both"/>
        <w:rPr>
          <w:noProof/>
          <w:sz w:val="24"/>
          <w:szCs w:val="24"/>
          <w:lang w:val="en-US"/>
        </w:rPr>
      </w:pPr>
      <w:r w:rsidRPr="00FB3026">
        <w:rPr>
          <w:noProof/>
          <w:sz w:val="24"/>
          <w:szCs w:val="24"/>
          <w:lang w:val="en-US"/>
        </w:rPr>
        <w:t>Sık sık farkındalık etkinliklerinin düzenlenmesi.</w:t>
      </w:r>
    </w:p>
    <w:p w:rsidR="0039511B" w:rsidRPr="00FB3026" w:rsidRDefault="0039511B" w:rsidP="00723C81">
      <w:pPr>
        <w:pStyle w:val="ListParagraph"/>
        <w:ind w:left="284"/>
        <w:jc w:val="both"/>
        <w:rPr>
          <w:noProof/>
          <w:sz w:val="24"/>
          <w:szCs w:val="24"/>
          <w:highlight w:val="yellow"/>
          <w:lang w:val="en-US"/>
        </w:rPr>
      </w:pPr>
    </w:p>
    <w:p w:rsidR="0039511B" w:rsidRPr="00FB3026" w:rsidRDefault="00C56595" w:rsidP="00723C81">
      <w:pPr>
        <w:pStyle w:val="ListParagraph"/>
        <w:numPr>
          <w:ilvl w:val="0"/>
          <w:numId w:val="2"/>
        </w:numPr>
        <w:ind w:left="284" w:firstLine="0"/>
        <w:jc w:val="both"/>
        <w:rPr>
          <w:noProof/>
          <w:sz w:val="24"/>
          <w:szCs w:val="24"/>
          <w:lang w:val="en-US"/>
        </w:rPr>
      </w:pPr>
      <w:r w:rsidRPr="00FB3026">
        <w:rPr>
          <w:noProof/>
          <w:sz w:val="24"/>
          <w:szCs w:val="24"/>
          <w:lang w:val="en-US"/>
        </w:rPr>
        <w:t>Toplumsal C</w:t>
      </w:r>
      <w:r w:rsidR="00021F11" w:rsidRPr="00FB3026">
        <w:rPr>
          <w:noProof/>
          <w:sz w:val="24"/>
          <w:szCs w:val="24"/>
          <w:lang w:val="en-US"/>
        </w:rPr>
        <w:t>insiyet ders</w:t>
      </w:r>
      <w:r w:rsidR="0039511B" w:rsidRPr="00FB3026">
        <w:rPr>
          <w:noProof/>
          <w:sz w:val="24"/>
          <w:szCs w:val="24"/>
          <w:lang w:val="en-US"/>
        </w:rPr>
        <w:t>inin</w:t>
      </w:r>
      <w:r w:rsidR="00021F11" w:rsidRPr="00FB3026">
        <w:rPr>
          <w:noProof/>
          <w:sz w:val="24"/>
          <w:szCs w:val="24"/>
          <w:lang w:val="en-US"/>
        </w:rPr>
        <w:t xml:space="preserve"> kalıcı olarak her fakültede verilmesi.</w:t>
      </w:r>
    </w:p>
    <w:p w:rsidR="00C56595" w:rsidRPr="00FB3026" w:rsidRDefault="00C56595" w:rsidP="00723C81">
      <w:pPr>
        <w:pStyle w:val="ListParagraph"/>
        <w:ind w:left="284"/>
        <w:jc w:val="both"/>
        <w:rPr>
          <w:noProof/>
          <w:sz w:val="24"/>
          <w:szCs w:val="24"/>
          <w:lang w:val="en-US"/>
        </w:rPr>
      </w:pPr>
    </w:p>
    <w:p w:rsidR="0039385F" w:rsidRPr="00FB3026" w:rsidRDefault="00C56595" w:rsidP="00723C81">
      <w:pPr>
        <w:pStyle w:val="ListParagraph"/>
        <w:numPr>
          <w:ilvl w:val="0"/>
          <w:numId w:val="2"/>
        </w:numPr>
        <w:ind w:left="284" w:firstLine="0"/>
        <w:jc w:val="both"/>
        <w:rPr>
          <w:noProof/>
          <w:sz w:val="24"/>
          <w:szCs w:val="24"/>
          <w:lang w:val="en-US"/>
        </w:rPr>
      </w:pPr>
      <w:r w:rsidRPr="00FB3026">
        <w:rPr>
          <w:noProof/>
          <w:sz w:val="24"/>
          <w:szCs w:val="24"/>
          <w:lang w:val="en-US"/>
        </w:rPr>
        <w:t>Toplumsal C</w:t>
      </w:r>
      <w:r w:rsidR="0039385F" w:rsidRPr="00FB3026">
        <w:rPr>
          <w:noProof/>
          <w:sz w:val="24"/>
          <w:szCs w:val="24"/>
          <w:lang w:val="en-US"/>
        </w:rPr>
        <w:t xml:space="preserve">insiyet dersi içeriğinin düzenlenmesi konusunda YÖK’ün </w:t>
      </w:r>
      <w:r w:rsidRPr="00FB3026">
        <w:rPr>
          <w:noProof/>
          <w:sz w:val="24"/>
          <w:szCs w:val="24"/>
          <w:lang w:val="en-US"/>
        </w:rPr>
        <w:t>belirleyici olmasının sorunlara yol açabileceği, dolayısıyla dersin müfredatın</w:t>
      </w:r>
      <w:r w:rsidR="009B015A" w:rsidRPr="00FB3026">
        <w:rPr>
          <w:noProof/>
          <w:sz w:val="24"/>
          <w:szCs w:val="24"/>
          <w:lang w:val="en-US"/>
        </w:rPr>
        <w:t>ın</w:t>
      </w:r>
      <w:r w:rsidRPr="00FB3026">
        <w:rPr>
          <w:noProof/>
          <w:sz w:val="24"/>
          <w:szCs w:val="24"/>
          <w:lang w:val="en-US"/>
        </w:rPr>
        <w:t xml:space="preserve"> bu alanda uzmanlarca belirlenmesi.</w:t>
      </w:r>
    </w:p>
    <w:p w:rsidR="00C56595" w:rsidRPr="00FB3026" w:rsidRDefault="00C56595" w:rsidP="00723C81">
      <w:pPr>
        <w:pStyle w:val="ListParagraph"/>
        <w:ind w:left="284"/>
        <w:jc w:val="both"/>
        <w:rPr>
          <w:noProof/>
          <w:sz w:val="24"/>
          <w:szCs w:val="24"/>
          <w:lang w:val="en-US"/>
        </w:rPr>
      </w:pPr>
    </w:p>
    <w:p w:rsidR="00794D9D" w:rsidRPr="00FB3026" w:rsidRDefault="00794D9D" w:rsidP="00723C81">
      <w:pPr>
        <w:pStyle w:val="ListParagraph"/>
        <w:numPr>
          <w:ilvl w:val="0"/>
          <w:numId w:val="2"/>
        </w:numPr>
        <w:ind w:left="284" w:firstLine="0"/>
        <w:jc w:val="both"/>
        <w:rPr>
          <w:noProof/>
          <w:sz w:val="24"/>
          <w:szCs w:val="24"/>
          <w:lang w:val="en-US"/>
        </w:rPr>
      </w:pPr>
      <w:r w:rsidRPr="00FB3026">
        <w:rPr>
          <w:noProof/>
          <w:sz w:val="24"/>
          <w:szCs w:val="24"/>
          <w:lang w:val="en-US"/>
        </w:rPr>
        <w:t>Cinsiyet Adaleti kavramı, Toplumsal Cinsiyet Eşitliği kavramına alternatif bir kavram olarak kullanılıyor. Buna çok dikkat edilmesi ve bu tehlikeli tuzağa düşülmemesi gerekiyor . Kavramlar dayatılmamalı.</w:t>
      </w:r>
    </w:p>
    <w:p w:rsidR="003F0B4C" w:rsidRPr="00FB3026" w:rsidRDefault="003F0B4C" w:rsidP="00723C81">
      <w:pPr>
        <w:pStyle w:val="ListParagraph"/>
        <w:ind w:left="284"/>
        <w:jc w:val="both"/>
        <w:rPr>
          <w:noProof/>
          <w:sz w:val="24"/>
          <w:szCs w:val="24"/>
          <w:lang w:val="en-US"/>
        </w:rPr>
      </w:pPr>
    </w:p>
    <w:p w:rsidR="00383985" w:rsidRPr="00FB3026" w:rsidRDefault="00794D9D" w:rsidP="00723C81">
      <w:pPr>
        <w:pStyle w:val="ListParagraph"/>
        <w:numPr>
          <w:ilvl w:val="0"/>
          <w:numId w:val="2"/>
        </w:numPr>
        <w:ind w:left="284" w:firstLine="0"/>
        <w:jc w:val="both"/>
        <w:rPr>
          <w:noProof/>
          <w:sz w:val="24"/>
          <w:szCs w:val="24"/>
          <w:lang w:val="en-US"/>
        </w:rPr>
      </w:pPr>
      <w:r w:rsidRPr="00FB3026">
        <w:rPr>
          <w:noProof/>
          <w:sz w:val="24"/>
          <w:szCs w:val="24"/>
          <w:lang w:val="en-US"/>
        </w:rPr>
        <w:t>Üniversitelerde ofis kapılarının açık tutulması gerekiyor. (Artv</w:t>
      </w:r>
      <w:r w:rsidR="003F0B4C" w:rsidRPr="00FB3026">
        <w:rPr>
          <w:noProof/>
          <w:sz w:val="24"/>
          <w:szCs w:val="24"/>
          <w:lang w:val="en-US"/>
        </w:rPr>
        <w:t>indeki bir olaydan yola çıkarak önerildi.</w:t>
      </w:r>
      <w:r w:rsidRPr="00FB3026">
        <w:rPr>
          <w:noProof/>
          <w:sz w:val="24"/>
          <w:szCs w:val="24"/>
          <w:lang w:val="en-US"/>
        </w:rPr>
        <w:t>)</w:t>
      </w:r>
      <w:r w:rsidR="003F0B4C" w:rsidRPr="00FB3026">
        <w:rPr>
          <w:noProof/>
          <w:sz w:val="24"/>
          <w:szCs w:val="24"/>
          <w:lang w:val="en-US"/>
        </w:rPr>
        <w:t xml:space="preserve"> </w:t>
      </w:r>
    </w:p>
    <w:p w:rsidR="00383985" w:rsidRPr="00FB3026" w:rsidRDefault="00383985" w:rsidP="00723C81">
      <w:pPr>
        <w:pStyle w:val="ListParagraph"/>
        <w:ind w:left="284"/>
        <w:jc w:val="both"/>
        <w:rPr>
          <w:noProof/>
          <w:sz w:val="24"/>
          <w:szCs w:val="24"/>
          <w:lang w:val="en-US"/>
        </w:rPr>
      </w:pPr>
    </w:p>
    <w:p w:rsidR="00794D9D" w:rsidRPr="00FB3026" w:rsidRDefault="00383985" w:rsidP="00723C81">
      <w:pPr>
        <w:pStyle w:val="ListParagraph"/>
        <w:numPr>
          <w:ilvl w:val="0"/>
          <w:numId w:val="2"/>
        </w:numPr>
        <w:ind w:left="284" w:firstLine="0"/>
        <w:jc w:val="both"/>
        <w:rPr>
          <w:noProof/>
          <w:sz w:val="24"/>
          <w:szCs w:val="24"/>
          <w:lang w:val="en-US"/>
        </w:rPr>
      </w:pPr>
      <w:r w:rsidRPr="00FB3026">
        <w:rPr>
          <w:noProof/>
          <w:sz w:val="24"/>
          <w:szCs w:val="24"/>
          <w:lang w:val="en-US"/>
        </w:rPr>
        <w:t>H</w:t>
      </w:r>
      <w:r w:rsidR="00E27158" w:rsidRPr="00FB3026">
        <w:rPr>
          <w:noProof/>
          <w:sz w:val="24"/>
          <w:szCs w:val="24"/>
          <w:lang w:val="en-US"/>
        </w:rPr>
        <w:t xml:space="preserve">em </w:t>
      </w:r>
      <w:r w:rsidR="003F0B4C" w:rsidRPr="00FB3026">
        <w:rPr>
          <w:noProof/>
          <w:sz w:val="24"/>
          <w:szCs w:val="24"/>
          <w:lang w:val="en-US"/>
        </w:rPr>
        <w:t xml:space="preserve">öğrencilerin </w:t>
      </w:r>
      <w:r w:rsidR="00E27158" w:rsidRPr="00FB3026">
        <w:rPr>
          <w:noProof/>
          <w:sz w:val="24"/>
          <w:szCs w:val="24"/>
          <w:lang w:val="en-US"/>
        </w:rPr>
        <w:t xml:space="preserve">hem </w:t>
      </w:r>
      <w:r w:rsidR="003F0B4C" w:rsidRPr="00FB3026">
        <w:rPr>
          <w:noProof/>
          <w:sz w:val="24"/>
          <w:szCs w:val="24"/>
          <w:lang w:val="en-US"/>
        </w:rPr>
        <w:t xml:space="preserve">kariyer yapan </w:t>
      </w:r>
      <w:r w:rsidRPr="00FB3026">
        <w:rPr>
          <w:noProof/>
          <w:sz w:val="24"/>
          <w:szCs w:val="24"/>
          <w:lang w:val="en-US"/>
        </w:rPr>
        <w:t xml:space="preserve">akademisyenlerin de </w:t>
      </w:r>
      <w:r w:rsidR="00E27158" w:rsidRPr="00FB3026">
        <w:rPr>
          <w:noProof/>
          <w:sz w:val="24"/>
          <w:szCs w:val="24"/>
          <w:lang w:val="en-US"/>
        </w:rPr>
        <w:t>başvurabileceği bir birim</w:t>
      </w:r>
      <w:r w:rsidR="003F0B4C" w:rsidRPr="00FB3026">
        <w:rPr>
          <w:noProof/>
          <w:sz w:val="24"/>
          <w:szCs w:val="24"/>
          <w:lang w:val="en-US"/>
        </w:rPr>
        <w:t>in olması.</w:t>
      </w:r>
    </w:p>
    <w:p w:rsidR="00E27158" w:rsidRPr="00FB3026" w:rsidRDefault="00E27158" w:rsidP="00723C81">
      <w:pPr>
        <w:pStyle w:val="ListParagraph"/>
        <w:ind w:left="284"/>
        <w:jc w:val="both"/>
        <w:rPr>
          <w:noProof/>
          <w:sz w:val="24"/>
          <w:szCs w:val="24"/>
          <w:lang w:val="en-US"/>
        </w:rPr>
      </w:pPr>
    </w:p>
    <w:p w:rsidR="0039385F" w:rsidRPr="00FB3026" w:rsidRDefault="0039385F"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Anadolu’daki çeşitli üniversitelerde çalışan kadın akademisyenlerin, </w:t>
      </w:r>
      <w:r w:rsidR="00032D4D" w:rsidRPr="00FB3026">
        <w:rPr>
          <w:noProof/>
          <w:sz w:val="24"/>
          <w:szCs w:val="24"/>
          <w:lang w:val="en-US"/>
        </w:rPr>
        <w:t xml:space="preserve">ve birçok </w:t>
      </w:r>
      <w:r w:rsidRPr="00FB3026">
        <w:rPr>
          <w:noProof/>
          <w:sz w:val="24"/>
          <w:szCs w:val="24"/>
          <w:lang w:val="en-US"/>
        </w:rPr>
        <w:t xml:space="preserve">baskılara maruz kalanların güçlendirilmesi ve konuyla ilgili kişilerin konferanslarla  bilgilendirilmesi. (CTS ağında olan ve bu konuda ileri </w:t>
      </w:r>
      <w:r w:rsidRPr="00FB3026">
        <w:rPr>
          <w:noProof/>
          <w:sz w:val="24"/>
          <w:szCs w:val="24"/>
          <w:lang w:val="en-US"/>
        </w:rPr>
        <w:lastRenderedPageBreak/>
        <w:t>çalışmalar yapan üniversite merkezlerinin</w:t>
      </w:r>
      <w:r w:rsidR="00EE4537" w:rsidRPr="00FB3026">
        <w:rPr>
          <w:noProof/>
          <w:sz w:val="24"/>
          <w:szCs w:val="24"/>
          <w:lang w:val="en-US"/>
        </w:rPr>
        <w:t xml:space="preserve"> eğitim/konferans vermesi</w:t>
      </w:r>
      <w:r w:rsidRPr="00FB3026">
        <w:rPr>
          <w:noProof/>
          <w:sz w:val="24"/>
          <w:szCs w:val="24"/>
          <w:lang w:val="en-US"/>
        </w:rPr>
        <w:t>)</w:t>
      </w:r>
    </w:p>
    <w:p w:rsidR="00F45CCC" w:rsidRPr="00FB3026" w:rsidRDefault="00F45CCC" w:rsidP="00723C81">
      <w:pPr>
        <w:pStyle w:val="ListParagraph"/>
        <w:ind w:left="284"/>
        <w:jc w:val="both"/>
        <w:rPr>
          <w:noProof/>
          <w:sz w:val="24"/>
          <w:szCs w:val="24"/>
          <w:lang w:val="en-US"/>
        </w:rPr>
      </w:pPr>
    </w:p>
    <w:p w:rsidR="00F03155" w:rsidRPr="00FB3026" w:rsidRDefault="00EE4537"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Tüm üniversiteler için dayatatılan tek bir politika belgesi olması uygun görülmüyor, her üniversite o belge üzerinde kendi politikasını oluşturmalı. </w:t>
      </w:r>
      <w:r w:rsidR="00F45CCC" w:rsidRPr="00FB3026">
        <w:rPr>
          <w:noProof/>
          <w:sz w:val="24"/>
          <w:szCs w:val="24"/>
          <w:lang w:val="en-US"/>
        </w:rPr>
        <w:t>Bu konularda yukarıdan aşağıya değil, aşağıdan yukarıya bir gelişim olması gere</w:t>
      </w:r>
      <w:r w:rsidR="00E27158" w:rsidRPr="00FB3026">
        <w:rPr>
          <w:noProof/>
          <w:sz w:val="24"/>
          <w:szCs w:val="24"/>
          <w:lang w:val="en-US"/>
        </w:rPr>
        <w:t>kiyor, dolayısıyla YÖK’den herha</w:t>
      </w:r>
      <w:r w:rsidR="00F45CCC" w:rsidRPr="00FB3026">
        <w:rPr>
          <w:noProof/>
          <w:sz w:val="24"/>
          <w:szCs w:val="24"/>
          <w:lang w:val="en-US"/>
        </w:rPr>
        <w:t>ngi bir dayatma ile karşı karşıya kalınmasın.</w:t>
      </w:r>
    </w:p>
    <w:p w:rsidR="001200F9" w:rsidRPr="00FB3026" w:rsidRDefault="001200F9" w:rsidP="00723C81">
      <w:pPr>
        <w:pStyle w:val="ListParagraph"/>
        <w:ind w:left="284"/>
        <w:jc w:val="both"/>
        <w:rPr>
          <w:noProof/>
          <w:sz w:val="24"/>
          <w:szCs w:val="24"/>
          <w:lang w:val="en-US"/>
        </w:rPr>
      </w:pPr>
    </w:p>
    <w:p w:rsidR="00F45CCC" w:rsidRPr="00FB3026" w:rsidRDefault="001200F9" w:rsidP="00723C81">
      <w:pPr>
        <w:pStyle w:val="ListParagraph"/>
        <w:numPr>
          <w:ilvl w:val="0"/>
          <w:numId w:val="2"/>
        </w:numPr>
        <w:ind w:left="284" w:firstLine="0"/>
        <w:jc w:val="both"/>
        <w:rPr>
          <w:noProof/>
          <w:sz w:val="24"/>
          <w:szCs w:val="24"/>
          <w:lang w:val="en-US"/>
        </w:rPr>
      </w:pPr>
      <w:r w:rsidRPr="00FB3026">
        <w:rPr>
          <w:noProof/>
          <w:sz w:val="24"/>
          <w:szCs w:val="24"/>
          <w:lang w:val="en-US"/>
        </w:rPr>
        <w:t>Kıbrıs’daki diğer üniversitelerin de CTS ağına eklenmesi.</w:t>
      </w:r>
    </w:p>
    <w:p w:rsidR="001200F9" w:rsidRPr="00FB3026" w:rsidRDefault="001200F9" w:rsidP="00723C81">
      <w:pPr>
        <w:pStyle w:val="ListParagraph"/>
        <w:ind w:left="284"/>
        <w:jc w:val="both"/>
        <w:rPr>
          <w:noProof/>
          <w:sz w:val="24"/>
          <w:szCs w:val="24"/>
          <w:highlight w:val="yellow"/>
          <w:lang w:val="en-US"/>
        </w:rPr>
      </w:pPr>
    </w:p>
    <w:p w:rsidR="008819BE" w:rsidRPr="00FB3026" w:rsidRDefault="00480350" w:rsidP="00723C81">
      <w:pPr>
        <w:pStyle w:val="ListParagraph"/>
        <w:numPr>
          <w:ilvl w:val="0"/>
          <w:numId w:val="2"/>
        </w:numPr>
        <w:ind w:left="284" w:firstLine="0"/>
        <w:jc w:val="both"/>
        <w:rPr>
          <w:sz w:val="24"/>
          <w:szCs w:val="24"/>
        </w:rPr>
      </w:pPr>
      <w:r w:rsidRPr="00FB3026">
        <w:rPr>
          <w:sz w:val="24"/>
          <w:szCs w:val="24"/>
        </w:rPr>
        <w:t xml:space="preserve">Broşürlerin devamlı hazırda olması ve okulların en kalabalık geçit yerlerinde </w:t>
      </w:r>
      <w:r w:rsidR="00E4531D" w:rsidRPr="00FB3026">
        <w:rPr>
          <w:sz w:val="24"/>
          <w:szCs w:val="24"/>
        </w:rPr>
        <w:t xml:space="preserve">büyük </w:t>
      </w:r>
      <w:r w:rsidRPr="00FB3026">
        <w:rPr>
          <w:sz w:val="24"/>
          <w:szCs w:val="24"/>
        </w:rPr>
        <w:t xml:space="preserve">posterlerin </w:t>
      </w:r>
      <w:r w:rsidR="00E4531D" w:rsidRPr="00FB3026">
        <w:rPr>
          <w:sz w:val="24"/>
          <w:szCs w:val="24"/>
        </w:rPr>
        <w:t>asıl</w:t>
      </w:r>
      <w:r w:rsidRPr="00FB3026">
        <w:rPr>
          <w:sz w:val="24"/>
          <w:szCs w:val="24"/>
        </w:rPr>
        <w:t>ması.</w:t>
      </w:r>
    </w:p>
    <w:p w:rsidR="00480350" w:rsidRPr="00FB3026" w:rsidRDefault="00480350" w:rsidP="00723C81">
      <w:pPr>
        <w:pStyle w:val="ListParagraph"/>
        <w:ind w:left="284"/>
        <w:jc w:val="both"/>
        <w:rPr>
          <w:sz w:val="24"/>
          <w:szCs w:val="24"/>
        </w:rPr>
      </w:pPr>
    </w:p>
    <w:p w:rsidR="008819BE" w:rsidRPr="00FB3026" w:rsidRDefault="008819BE"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Yabancı dilde </w:t>
      </w:r>
      <w:r w:rsidR="00993614" w:rsidRPr="00FB3026">
        <w:rPr>
          <w:noProof/>
          <w:sz w:val="24"/>
          <w:szCs w:val="24"/>
          <w:lang w:val="en-US"/>
        </w:rPr>
        <w:t xml:space="preserve">veya çift dilli </w:t>
      </w:r>
      <w:r w:rsidRPr="00FB3026">
        <w:rPr>
          <w:noProof/>
          <w:sz w:val="24"/>
          <w:szCs w:val="24"/>
          <w:lang w:val="en-US"/>
        </w:rPr>
        <w:t>broşürlerin hazırlanması</w:t>
      </w:r>
      <w:r w:rsidR="00480350" w:rsidRPr="00FB3026">
        <w:rPr>
          <w:noProof/>
          <w:sz w:val="24"/>
          <w:szCs w:val="24"/>
          <w:lang w:val="en-US"/>
        </w:rPr>
        <w:t>.</w:t>
      </w:r>
      <w:r w:rsidRPr="00FB3026">
        <w:rPr>
          <w:noProof/>
          <w:sz w:val="24"/>
          <w:szCs w:val="24"/>
          <w:lang w:val="en-US"/>
        </w:rPr>
        <w:t xml:space="preserve"> (özellikle İngilizce)</w:t>
      </w:r>
    </w:p>
    <w:p w:rsidR="00DF545D" w:rsidRPr="00FB3026" w:rsidRDefault="00DF545D" w:rsidP="00723C81">
      <w:pPr>
        <w:pStyle w:val="ListParagraph"/>
        <w:ind w:left="284"/>
        <w:jc w:val="both"/>
        <w:rPr>
          <w:noProof/>
          <w:sz w:val="24"/>
          <w:szCs w:val="24"/>
          <w:lang w:val="en-US"/>
        </w:rPr>
      </w:pPr>
    </w:p>
    <w:p w:rsidR="008819BE" w:rsidRPr="00FB3026" w:rsidRDefault="008819BE"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Broşürlerin özel günlerde ve özellikle okula kayıt haftalarında </w:t>
      </w:r>
      <w:r w:rsidR="0039511B" w:rsidRPr="00FB3026">
        <w:rPr>
          <w:noProof/>
          <w:sz w:val="24"/>
          <w:szCs w:val="24"/>
          <w:lang w:val="en-US"/>
        </w:rPr>
        <w:t xml:space="preserve">ve oryantasyon günlerinde </w:t>
      </w:r>
      <w:r w:rsidRPr="00FB3026">
        <w:rPr>
          <w:noProof/>
          <w:sz w:val="24"/>
          <w:szCs w:val="24"/>
          <w:lang w:val="en-US"/>
        </w:rPr>
        <w:t>dağıtılması.</w:t>
      </w:r>
    </w:p>
    <w:p w:rsidR="00480350" w:rsidRPr="00FB3026" w:rsidRDefault="00480350" w:rsidP="00723C81">
      <w:pPr>
        <w:pStyle w:val="ListParagraph"/>
        <w:ind w:left="284"/>
        <w:jc w:val="both"/>
        <w:rPr>
          <w:noProof/>
          <w:sz w:val="24"/>
          <w:szCs w:val="24"/>
          <w:highlight w:val="yellow"/>
          <w:lang w:val="en-US"/>
        </w:rPr>
      </w:pPr>
    </w:p>
    <w:p w:rsidR="00331E93" w:rsidRPr="00FB3026" w:rsidRDefault="008819BE" w:rsidP="00723C81">
      <w:pPr>
        <w:pStyle w:val="ListParagraph"/>
        <w:numPr>
          <w:ilvl w:val="0"/>
          <w:numId w:val="2"/>
        </w:numPr>
        <w:ind w:left="284" w:firstLine="0"/>
        <w:jc w:val="both"/>
        <w:rPr>
          <w:noProof/>
          <w:sz w:val="24"/>
          <w:szCs w:val="24"/>
          <w:lang w:val="en-US"/>
        </w:rPr>
      </w:pPr>
      <w:r w:rsidRPr="00FB3026">
        <w:rPr>
          <w:noProof/>
          <w:sz w:val="24"/>
          <w:szCs w:val="24"/>
          <w:lang w:val="en-US"/>
        </w:rPr>
        <w:t>Farkındalığı arttırmak adına rozet, düdük ve kitap ayracı yaptırılması.</w:t>
      </w:r>
    </w:p>
    <w:p w:rsidR="00480350" w:rsidRPr="00FB3026" w:rsidRDefault="00331E93" w:rsidP="00723C81">
      <w:pPr>
        <w:pStyle w:val="ListParagraph"/>
        <w:numPr>
          <w:ilvl w:val="0"/>
          <w:numId w:val="2"/>
        </w:numPr>
        <w:ind w:left="284" w:firstLine="0"/>
        <w:jc w:val="both"/>
        <w:rPr>
          <w:noProof/>
          <w:sz w:val="24"/>
          <w:szCs w:val="24"/>
          <w:lang w:val="en-US"/>
        </w:rPr>
      </w:pPr>
      <w:r w:rsidRPr="00FB3026">
        <w:rPr>
          <w:noProof/>
          <w:sz w:val="24"/>
          <w:szCs w:val="24"/>
          <w:lang w:val="en-US"/>
        </w:rPr>
        <w:t>Öğrencilerin üniversiteler arası bir bağ oluşturarak ‘Tacize karşı örgütleniyoruz. Bir ses çıkar!’ tarzı bir sloganla çalıştaylar içeren yaz kampları düzenlemek.</w:t>
      </w:r>
    </w:p>
    <w:p w:rsidR="00331E93" w:rsidRPr="00FB3026" w:rsidRDefault="00331E93" w:rsidP="00723C81">
      <w:pPr>
        <w:pStyle w:val="ListParagraph"/>
        <w:ind w:left="284"/>
        <w:jc w:val="both"/>
        <w:rPr>
          <w:noProof/>
          <w:sz w:val="24"/>
          <w:szCs w:val="24"/>
          <w:lang w:val="en-US"/>
        </w:rPr>
      </w:pPr>
    </w:p>
    <w:p w:rsidR="008819BE" w:rsidRPr="00FB3026" w:rsidRDefault="008819BE" w:rsidP="00723C81">
      <w:pPr>
        <w:pStyle w:val="ListParagraph"/>
        <w:numPr>
          <w:ilvl w:val="0"/>
          <w:numId w:val="2"/>
        </w:numPr>
        <w:ind w:left="284" w:firstLine="0"/>
        <w:jc w:val="both"/>
        <w:rPr>
          <w:noProof/>
          <w:sz w:val="24"/>
          <w:szCs w:val="24"/>
          <w:lang w:val="en-US"/>
        </w:rPr>
      </w:pPr>
      <w:r w:rsidRPr="00FB3026">
        <w:rPr>
          <w:noProof/>
          <w:sz w:val="24"/>
          <w:szCs w:val="24"/>
          <w:lang w:val="en-US"/>
        </w:rPr>
        <w:t>Öğrencilere</w:t>
      </w:r>
      <w:r w:rsidR="00480350" w:rsidRPr="00FB3026">
        <w:rPr>
          <w:noProof/>
          <w:sz w:val="24"/>
          <w:szCs w:val="24"/>
          <w:lang w:val="en-US"/>
        </w:rPr>
        <w:t xml:space="preserve"> ve akademik memur kadrosuna ayrı olmak üzere</w:t>
      </w:r>
      <w:r w:rsidRPr="00FB3026">
        <w:rPr>
          <w:noProof/>
          <w:sz w:val="24"/>
          <w:szCs w:val="24"/>
          <w:lang w:val="en-US"/>
        </w:rPr>
        <w:t xml:space="preserve"> sunumların hazırlanmas</w:t>
      </w:r>
      <w:r w:rsidR="00480350" w:rsidRPr="00FB3026">
        <w:rPr>
          <w:noProof/>
          <w:sz w:val="24"/>
          <w:szCs w:val="24"/>
          <w:lang w:val="en-US"/>
        </w:rPr>
        <w:t>ı</w:t>
      </w:r>
      <w:r w:rsidRPr="00FB3026">
        <w:rPr>
          <w:noProof/>
          <w:sz w:val="24"/>
          <w:szCs w:val="24"/>
          <w:lang w:val="en-US"/>
        </w:rPr>
        <w:t xml:space="preserve"> ve bu sunumların her fakültede yapılması.</w:t>
      </w:r>
      <w:r w:rsidR="0039511B" w:rsidRPr="00FB3026">
        <w:rPr>
          <w:noProof/>
          <w:sz w:val="24"/>
          <w:szCs w:val="24"/>
          <w:lang w:val="en-US"/>
        </w:rPr>
        <w:t xml:space="preserve"> Eğer mümkünse bu kon</w:t>
      </w:r>
      <w:r w:rsidR="007241BB" w:rsidRPr="00FB3026">
        <w:rPr>
          <w:noProof/>
          <w:sz w:val="24"/>
          <w:szCs w:val="24"/>
          <w:lang w:val="en-US"/>
        </w:rPr>
        <w:t>uların farklı açılardan ele alı</w:t>
      </w:r>
      <w:r w:rsidR="0039511B" w:rsidRPr="00FB3026">
        <w:rPr>
          <w:noProof/>
          <w:sz w:val="24"/>
          <w:szCs w:val="24"/>
          <w:lang w:val="en-US"/>
        </w:rPr>
        <w:t xml:space="preserve">narak daha detaylı işlenmesi. Örnegin ilgili </w:t>
      </w:r>
      <w:r w:rsidR="0039511B" w:rsidRPr="00FB3026">
        <w:rPr>
          <w:noProof/>
          <w:sz w:val="24"/>
          <w:szCs w:val="24"/>
          <w:lang w:val="en-US"/>
        </w:rPr>
        <w:lastRenderedPageBreak/>
        <w:t>hocalar tarafından, psikolok durum açısından farklı</w:t>
      </w:r>
      <w:r w:rsidR="007241BB" w:rsidRPr="00FB3026">
        <w:rPr>
          <w:noProof/>
          <w:sz w:val="24"/>
          <w:szCs w:val="24"/>
          <w:lang w:val="en-US"/>
        </w:rPr>
        <w:t>,</w:t>
      </w:r>
      <w:r w:rsidR="0039511B" w:rsidRPr="00FB3026">
        <w:rPr>
          <w:noProof/>
          <w:sz w:val="24"/>
          <w:szCs w:val="24"/>
          <w:lang w:val="en-US"/>
        </w:rPr>
        <w:t xml:space="preserve"> hukuki süreç açısından farklı bilgiledirici sunumların yapılması.</w:t>
      </w:r>
    </w:p>
    <w:p w:rsidR="00480350" w:rsidRPr="00FB3026" w:rsidRDefault="00480350" w:rsidP="00723C81">
      <w:pPr>
        <w:pStyle w:val="ListParagraph"/>
        <w:ind w:left="284"/>
        <w:jc w:val="both"/>
        <w:rPr>
          <w:noProof/>
          <w:sz w:val="24"/>
          <w:szCs w:val="24"/>
          <w:lang w:val="en-US"/>
        </w:rPr>
      </w:pPr>
    </w:p>
    <w:p w:rsidR="008819BE" w:rsidRPr="00FB3026" w:rsidRDefault="008819BE" w:rsidP="00723C81">
      <w:pPr>
        <w:pStyle w:val="ListParagraph"/>
        <w:numPr>
          <w:ilvl w:val="0"/>
          <w:numId w:val="2"/>
        </w:numPr>
        <w:ind w:left="284" w:firstLine="0"/>
        <w:jc w:val="both"/>
        <w:rPr>
          <w:noProof/>
          <w:sz w:val="24"/>
          <w:szCs w:val="24"/>
          <w:lang w:val="en-US"/>
        </w:rPr>
      </w:pPr>
      <w:r w:rsidRPr="00FB3026">
        <w:rPr>
          <w:noProof/>
          <w:sz w:val="24"/>
          <w:szCs w:val="24"/>
          <w:lang w:val="en-US"/>
        </w:rPr>
        <w:t>Akademik personele öğrencileri yönlendirmeye yönelik sunumların</w:t>
      </w:r>
      <w:r w:rsidR="00480350" w:rsidRPr="00FB3026">
        <w:rPr>
          <w:noProof/>
          <w:sz w:val="24"/>
          <w:szCs w:val="24"/>
          <w:lang w:val="en-US"/>
        </w:rPr>
        <w:t xml:space="preserve"> yapılması</w:t>
      </w:r>
      <w:r w:rsidRPr="00FB3026">
        <w:rPr>
          <w:noProof/>
          <w:sz w:val="24"/>
          <w:szCs w:val="24"/>
          <w:lang w:val="en-US"/>
        </w:rPr>
        <w:t xml:space="preserve">, eğitimlerin </w:t>
      </w:r>
      <w:r w:rsidR="00480350" w:rsidRPr="00FB3026">
        <w:rPr>
          <w:noProof/>
          <w:sz w:val="24"/>
          <w:szCs w:val="24"/>
          <w:lang w:val="en-US"/>
        </w:rPr>
        <w:t>verilmesi.</w:t>
      </w:r>
    </w:p>
    <w:p w:rsidR="0039511B" w:rsidRPr="00FB3026" w:rsidRDefault="0039511B" w:rsidP="00723C81">
      <w:pPr>
        <w:pStyle w:val="ListParagraph"/>
        <w:ind w:left="284"/>
        <w:jc w:val="both"/>
        <w:rPr>
          <w:noProof/>
          <w:sz w:val="24"/>
          <w:szCs w:val="24"/>
          <w:lang w:val="en-US"/>
        </w:rPr>
      </w:pPr>
    </w:p>
    <w:p w:rsidR="00480350" w:rsidRPr="00FB3026" w:rsidRDefault="0039511B"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Tüm yönetsel ve akademik birimlerde çalışan kişilere </w:t>
      </w:r>
      <w:r w:rsidR="00480350" w:rsidRPr="00FB3026">
        <w:rPr>
          <w:noProof/>
          <w:sz w:val="24"/>
          <w:szCs w:val="24"/>
          <w:lang w:val="en-US"/>
        </w:rPr>
        <w:t>öğrenciyi birime veya merkeze yönlendirebilmesi adına klavuzların hazırlanması.</w:t>
      </w:r>
      <w:r w:rsidRPr="00FB3026">
        <w:rPr>
          <w:noProof/>
          <w:sz w:val="24"/>
          <w:szCs w:val="24"/>
          <w:lang w:val="en-US"/>
        </w:rPr>
        <w:t xml:space="preserve"> Her ara dönem başlangıcında bu klavuzların dağıtılması.</w:t>
      </w:r>
    </w:p>
    <w:p w:rsidR="00480350" w:rsidRPr="00FB3026" w:rsidRDefault="00480350" w:rsidP="00723C81">
      <w:pPr>
        <w:pStyle w:val="ListParagraph"/>
        <w:ind w:left="284"/>
        <w:jc w:val="both"/>
        <w:rPr>
          <w:noProof/>
          <w:sz w:val="24"/>
          <w:szCs w:val="24"/>
          <w:lang w:val="en-US"/>
        </w:rPr>
      </w:pPr>
    </w:p>
    <w:p w:rsidR="00726783" w:rsidRPr="00FB3026" w:rsidRDefault="00726783" w:rsidP="00723C81">
      <w:pPr>
        <w:pStyle w:val="ListParagraph"/>
        <w:numPr>
          <w:ilvl w:val="0"/>
          <w:numId w:val="2"/>
        </w:numPr>
        <w:ind w:left="284" w:firstLine="0"/>
        <w:jc w:val="both"/>
        <w:rPr>
          <w:noProof/>
          <w:sz w:val="24"/>
          <w:szCs w:val="24"/>
          <w:lang w:val="en-US"/>
        </w:rPr>
      </w:pPr>
      <w:r w:rsidRPr="00FB3026">
        <w:rPr>
          <w:noProof/>
          <w:sz w:val="24"/>
          <w:szCs w:val="24"/>
          <w:lang w:val="en-US"/>
        </w:rPr>
        <w:t xml:space="preserve">Öğrencileri daha kolay yönlendirebilmek adına her fakültede bu konularda bilgili ve ilgili temsilcilerin belirlenmesi, bu kişilerin kapılarına ‘CTS Birim Temsilcisi’ yazılması. Bu temsilcilerle belirli zamanlarda toplantı yapılması. </w:t>
      </w:r>
    </w:p>
    <w:p w:rsidR="00C32156" w:rsidRDefault="00C32156" w:rsidP="00723C81">
      <w:pPr>
        <w:pStyle w:val="ListParagraph"/>
        <w:ind w:left="284"/>
        <w:jc w:val="both"/>
        <w:rPr>
          <w:noProof/>
          <w:sz w:val="24"/>
          <w:szCs w:val="24"/>
          <w:lang w:val="en-US"/>
        </w:rPr>
      </w:pPr>
    </w:p>
    <w:p w:rsidR="00FB3026" w:rsidRPr="00FB3026" w:rsidRDefault="00FB3026" w:rsidP="00723C81">
      <w:pPr>
        <w:pStyle w:val="ListParagraph"/>
        <w:ind w:left="284"/>
        <w:jc w:val="both"/>
        <w:rPr>
          <w:noProof/>
          <w:sz w:val="24"/>
          <w:szCs w:val="24"/>
          <w:lang w:val="en-US"/>
        </w:rPr>
      </w:pPr>
    </w:p>
    <w:p w:rsidR="00F03155" w:rsidRPr="00FB3026" w:rsidRDefault="00480350" w:rsidP="00723C81">
      <w:pPr>
        <w:pStyle w:val="ListParagraph"/>
        <w:numPr>
          <w:ilvl w:val="0"/>
          <w:numId w:val="2"/>
        </w:numPr>
        <w:ind w:left="284" w:firstLine="0"/>
        <w:jc w:val="both"/>
        <w:rPr>
          <w:noProof/>
          <w:sz w:val="24"/>
          <w:szCs w:val="24"/>
          <w:lang w:val="en-US"/>
        </w:rPr>
      </w:pPr>
      <w:r w:rsidRPr="00FB3026">
        <w:rPr>
          <w:noProof/>
          <w:sz w:val="24"/>
          <w:szCs w:val="24"/>
          <w:lang w:val="en-US"/>
        </w:rPr>
        <w:t>Okulların kendi içindeki fakülte</w:t>
      </w:r>
      <w:r w:rsidR="008F0B0D" w:rsidRPr="00FB3026">
        <w:rPr>
          <w:noProof/>
          <w:sz w:val="24"/>
          <w:szCs w:val="24"/>
          <w:lang w:val="en-US"/>
        </w:rPr>
        <w:t>ler</w:t>
      </w:r>
      <w:r w:rsidRPr="00FB3026">
        <w:rPr>
          <w:noProof/>
          <w:sz w:val="24"/>
          <w:szCs w:val="24"/>
          <w:lang w:val="en-US"/>
        </w:rPr>
        <w:t>den yardım alarak fa</w:t>
      </w:r>
      <w:r w:rsidR="00E4531D" w:rsidRPr="00FB3026">
        <w:rPr>
          <w:noProof/>
          <w:sz w:val="24"/>
          <w:szCs w:val="24"/>
          <w:lang w:val="en-US"/>
        </w:rPr>
        <w:t>rkındalık reklamları düzenlemesi</w:t>
      </w:r>
      <w:r w:rsidR="008F0B0D" w:rsidRPr="00FB3026">
        <w:rPr>
          <w:noProof/>
          <w:sz w:val="24"/>
          <w:szCs w:val="24"/>
          <w:lang w:val="en-US"/>
        </w:rPr>
        <w:t>. Ö</w:t>
      </w:r>
      <w:r w:rsidR="00726783" w:rsidRPr="00FB3026">
        <w:rPr>
          <w:noProof/>
          <w:sz w:val="24"/>
          <w:szCs w:val="24"/>
          <w:lang w:val="en-US"/>
        </w:rPr>
        <w:t>rneğin iletişim fakültesi yardımı ile c</w:t>
      </w:r>
      <w:r w:rsidRPr="00FB3026">
        <w:rPr>
          <w:noProof/>
          <w:sz w:val="24"/>
          <w:szCs w:val="24"/>
          <w:lang w:val="en-US"/>
        </w:rPr>
        <w:t>insel taciz</w:t>
      </w:r>
      <w:r w:rsidR="00E4531D" w:rsidRPr="00FB3026">
        <w:rPr>
          <w:noProof/>
          <w:sz w:val="24"/>
          <w:szCs w:val="24"/>
          <w:lang w:val="en-US"/>
        </w:rPr>
        <w:t xml:space="preserve"> ve şiddeti konu alan kısa film</w:t>
      </w:r>
      <w:r w:rsidRPr="00FB3026">
        <w:rPr>
          <w:noProof/>
          <w:sz w:val="24"/>
          <w:szCs w:val="24"/>
          <w:lang w:val="en-US"/>
        </w:rPr>
        <w:t>lerin çekilmesi.Toplumsal Cinsiyet derslerinde ve öğrenciye yapılan Sunumlarda bu filmlerin kullanılması</w:t>
      </w:r>
      <w:r w:rsidR="00E4531D" w:rsidRPr="00FB3026">
        <w:rPr>
          <w:noProof/>
          <w:sz w:val="24"/>
          <w:szCs w:val="24"/>
          <w:lang w:val="en-US"/>
        </w:rPr>
        <w:t>.</w:t>
      </w:r>
    </w:p>
    <w:p w:rsidR="00CB7E8A" w:rsidRPr="00FB3026" w:rsidRDefault="00CB7E8A" w:rsidP="00723C81">
      <w:pPr>
        <w:pStyle w:val="ListParagraph"/>
        <w:ind w:left="284"/>
        <w:jc w:val="both"/>
        <w:rPr>
          <w:noProof/>
          <w:sz w:val="24"/>
          <w:szCs w:val="24"/>
          <w:lang w:val="en-US"/>
        </w:rPr>
      </w:pPr>
    </w:p>
    <w:p w:rsidR="00CB7E8A" w:rsidRPr="00FB3026" w:rsidRDefault="00ED0671" w:rsidP="00723C81">
      <w:pPr>
        <w:pStyle w:val="ListParagraph"/>
        <w:numPr>
          <w:ilvl w:val="0"/>
          <w:numId w:val="2"/>
        </w:numPr>
        <w:ind w:left="284" w:firstLine="0"/>
        <w:jc w:val="both"/>
        <w:rPr>
          <w:noProof/>
          <w:sz w:val="24"/>
          <w:szCs w:val="24"/>
          <w:lang w:val="en-US"/>
        </w:rPr>
      </w:pPr>
      <w:r w:rsidRPr="00FB3026">
        <w:rPr>
          <w:noProof/>
          <w:sz w:val="24"/>
          <w:szCs w:val="24"/>
          <w:lang w:val="en-US"/>
        </w:rPr>
        <w:t>Sınıfta yapılan anketlerde öğrenci tacizci ile aynı ortamda bulunuyor olabilir</w:t>
      </w:r>
      <w:r w:rsidR="0065667B" w:rsidRPr="00FB3026">
        <w:rPr>
          <w:noProof/>
          <w:sz w:val="24"/>
          <w:szCs w:val="24"/>
          <w:lang w:val="en-US"/>
        </w:rPr>
        <w:t xml:space="preserve"> o yüzden internet üzerinden (öğrenci portalları) online anket uygulamasının yapılması.</w:t>
      </w:r>
    </w:p>
    <w:p w:rsidR="0039511B" w:rsidRPr="00FB3026" w:rsidRDefault="0039511B" w:rsidP="00723C81">
      <w:pPr>
        <w:pStyle w:val="ListParagraph"/>
        <w:ind w:left="284"/>
        <w:jc w:val="both"/>
        <w:rPr>
          <w:noProof/>
          <w:sz w:val="24"/>
          <w:szCs w:val="24"/>
          <w:lang w:val="en-US"/>
        </w:rPr>
      </w:pPr>
    </w:p>
    <w:p w:rsidR="0039511B" w:rsidRPr="00FB3026" w:rsidRDefault="006C1AD6" w:rsidP="00723C81">
      <w:pPr>
        <w:pStyle w:val="ListParagraph"/>
        <w:numPr>
          <w:ilvl w:val="0"/>
          <w:numId w:val="2"/>
        </w:numPr>
        <w:ind w:left="284" w:firstLine="0"/>
        <w:jc w:val="both"/>
        <w:rPr>
          <w:noProof/>
          <w:sz w:val="24"/>
          <w:szCs w:val="24"/>
          <w:lang w:val="en-US"/>
        </w:rPr>
      </w:pPr>
      <w:r w:rsidRPr="00FB3026">
        <w:rPr>
          <w:noProof/>
          <w:sz w:val="24"/>
          <w:szCs w:val="24"/>
          <w:lang w:val="en-US"/>
        </w:rPr>
        <w:t>Anketlerin yapılması ve daha sonra bu anket sonuçlarının</w:t>
      </w:r>
      <w:r w:rsidR="0049080C" w:rsidRPr="00FB3026">
        <w:rPr>
          <w:noProof/>
          <w:sz w:val="24"/>
          <w:szCs w:val="24"/>
          <w:lang w:val="en-US"/>
        </w:rPr>
        <w:t xml:space="preserve">  CTS birimlerindeki üniversiteler </w:t>
      </w:r>
      <w:r w:rsidRPr="00FB3026">
        <w:rPr>
          <w:noProof/>
          <w:sz w:val="24"/>
          <w:szCs w:val="24"/>
          <w:lang w:val="en-US"/>
        </w:rPr>
        <w:t>arasında karşılaştırılması.</w:t>
      </w:r>
    </w:p>
    <w:p w:rsidR="0049080C" w:rsidRPr="00FB3026" w:rsidRDefault="0049080C" w:rsidP="00723C81">
      <w:pPr>
        <w:pStyle w:val="ListParagraph"/>
        <w:ind w:left="284"/>
        <w:jc w:val="both"/>
        <w:rPr>
          <w:noProof/>
          <w:sz w:val="24"/>
          <w:szCs w:val="24"/>
          <w:lang w:val="en-US"/>
        </w:rPr>
      </w:pPr>
      <w:r w:rsidRPr="00FB3026">
        <w:rPr>
          <w:noProof/>
          <w:sz w:val="24"/>
          <w:szCs w:val="24"/>
          <w:lang w:val="en-US"/>
        </w:rPr>
        <w:lastRenderedPageBreak/>
        <w:t>İstatiksel olarak değerlendirebilmek adına ankette herhangi bir farklılığın yapılmaması.</w:t>
      </w:r>
    </w:p>
    <w:p w:rsidR="00096490" w:rsidRPr="00FB3026" w:rsidRDefault="00096490" w:rsidP="00723C81">
      <w:pPr>
        <w:pStyle w:val="ListParagraph"/>
        <w:ind w:left="284"/>
        <w:jc w:val="both"/>
        <w:rPr>
          <w:noProof/>
          <w:sz w:val="24"/>
          <w:szCs w:val="24"/>
          <w:lang w:val="en-US"/>
        </w:rPr>
      </w:pPr>
    </w:p>
    <w:p w:rsidR="00C13A70" w:rsidRPr="00FB3026" w:rsidRDefault="0049080C" w:rsidP="00723C81">
      <w:pPr>
        <w:pStyle w:val="ListParagraph"/>
        <w:numPr>
          <w:ilvl w:val="0"/>
          <w:numId w:val="3"/>
        </w:numPr>
        <w:ind w:left="284" w:firstLine="0"/>
        <w:jc w:val="both"/>
        <w:rPr>
          <w:noProof/>
          <w:sz w:val="24"/>
          <w:szCs w:val="24"/>
          <w:lang w:val="en-US"/>
        </w:rPr>
      </w:pPr>
      <w:r w:rsidRPr="00FB3026">
        <w:rPr>
          <w:noProof/>
          <w:sz w:val="24"/>
          <w:szCs w:val="24"/>
          <w:lang w:val="en-US"/>
        </w:rPr>
        <w:t>Anketin aynı koşullarda, etik ve gönüllülük ilkeleri altında uygulatılması.</w:t>
      </w:r>
    </w:p>
    <w:p w:rsidR="00C13A70" w:rsidRPr="00FB3026" w:rsidRDefault="00C13A70" w:rsidP="00723C81">
      <w:pPr>
        <w:pStyle w:val="ListParagraph"/>
        <w:ind w:left="284"/>
        <w:jc w:val="both"/>
        <w:rPr>
          <w:noProof/>
          <w:sz w:val="24"/>
          <w:szCs w:val="24"/>
          <w:lang w:val="en-US"/>
        </w:rPr>
      </w:pPr>
    </w:p>
    <w:p w:rsidR="00C13A70" w:rsidRPr="00FB3026" w:rsidRDefault="00C13A70" w:rsidP="00723C81">
      <w:pPr>
        <w:pStyle w:val="ListParagraph"/>
        <w:numPr>
          <w:ilvl w:val="0"/>
          <w:numId w:val="3"/>
        </w:numPr>
        <w:ind w:left="284" w:firstLine="0"/>
        <w:jc w:val="both"/>
        <w:rPr>
          <w:noProof/>
          <w:sz w:val="24"/>
          <w:szCs w:val="24"/>
          <w:lang w:val="en-US"/>
        </w:rPr>
      </w:pPr>
      <w:r w:rsidRPr="00FB3026">
        <w:rPr>
          <w:noProof/>
          <w:sz w:val="24"/>
          <w:szCs w:val="24"/>
          <w:u w:val="single"/>
          <w:lang w:val="en-US"/>
        </w:rPr>
        <w:t>Women Students Safe and Equal</w:t>
      </w:r>
      <w:r w:rsidRPr="00FB3026">
        <w:rPr>
          <w:noProof/>
          <w:sz w:val="24"/>
          <w:szCs w:val="24"/>
          <w:lang w:val="en-US"/>
        </w:rPr>
        <w:t>, internet sitesinde</w:t>
      </w:r>
    </w:p>
    <w:p w:rsidR="00C13A70" w:rsidRPr="00FB3026" w:rsidRDefault="00C13A70" w:rsidP="00723C81">
      <w:pPr>
        <w:pStyle w:val="ListParagraph"/>
        <w:ind w:left="284"/>
        <w:jc w:val="both"/>
        <w:rPr>
          <w:noProof/>
          <w:sz w:val="24"/>
          <w:szCs w:val="24"/>
          <w:lang w:val="en-US"/>
        </w:rPr>
      </w:pPr>
      <w:r w:rsidRPr="00FB3026">
        <w:rPr>
          <w:noProof/>
          <w:sz w:val="24"/>
          <w:szCs w:val="24"/>
          <w:u w:val="single"/>
          <w:lang w:val="en-US"/>
        </w:rPr>
        <w:t xml:space="preserve">Student </w:t>
      </w:r>
      <w:r w:rsidR="00723C81" w:rsidRPr="00FB3026">
        <w:rPr>
          <w:noProof/>
          <w:sz w:val="24"/>
          <w:szCs w:val="24"/>
          <w:u w:val="single"/>
          <w:lang w:val="en-US"/>
        </w:rPr>
        <w:t>Worker</w:t>
      </w:r>
      <w:r w:rsidRPr="00FB3026">
        <w:rPr>
          <w:noProof/>
          <w:sz w:val="24"/>
          <w:szCs w:val="24"/>
          <w:u w:val="single"/>
          <w:lang w:val="en-US"/>
        </w:rPr>
        <w:t xml:space="preserve"> Activist Guide 2015</w:t>
      </w:r>
      <w:r w:rsidRPr="00FB3026">
        <w:rPr>
          <w:noProof/>
          <w:sz w:val="24"/>
          <w:szCs w:val="24"/>
          <w:lang w:val="en-US"/>
        </w:rPr>
        <w:t xml:space="preserve"> İngilteredeki üniversitelerde uygulanan örnekleri içeriyor ve özellikle kampüs üniversitelerinde neler yapılabilir </w:t>
      </w:r>
      <w:r w:rsidR="00723C81" w:rsidRPr="00FB3026">
        <w:rPr>
          <w:noProof/>
          <w:sz w:val="24"/>
          <w:szCs w:val="24"/>
          <w:lang w:val="en-US"/>
        </w:rPr>
        <w:t xml:space="preserve">bu konularda </w:t>
      </w:r>
      <w:r w:rsidRPr="00FB3026">
        <w:rPr>
          <w:noProof/>
          <w:sz w:val="24"/>
          <w:szCs w:val="24"/>
          <w:lang w:val="en-US"/>
        </w:rPr>
        <w:t>ayrıntılı bilgiler bulunmakta.</w:t>
      </w:r>
    </w:p>
    <w:p w:rsidR="00C13A70" w:rsidRPr="00FB3026" w:rsidRDefault="00C13A70" w:rsidP="00723C81">
      <w:pPr>
        <w:pStyle w:val="ListParagraph"/>
        <w:ind w:left="284"/>
        <w:jc w:val="both"/>
        <w:rPr>
          <w:noProof/>
          <w:color w:val="7030A0"/>
          <w:sz w:val="24"/>
          <w:szCs w:val="24"/>
          <w:lang w:val="en-US"/>
        </w:rPr>
      </w:pPr>
    </w:p>
    <w:p w:rsidR="00C13A70" w:rsidRPr="00FB3026" w:rsidRDefault="00C13A70" w:rsidP="00723C81">
      <w:pPr>
        <w:pStyle w:val="ListParagraph"/>
        <w:numPr>
          <w:ilvl w:val="0"/>
          <w:numId w:val="2"/>
        </w:numPr>
        <w:ind w:left="284" w:firstLine="0"/>
        <w:jc w:val="both"/>
        <w:rPr>
          <w:noProof/>
          <w:sz w:val="24"/>
          <w:szCs w:val="24"/>
          <w:lang w:val="en-US"/>
        </w:rPr>
      </w:pPr>
      <w:r w:rsidRPr="00FB3026">
        <w:rPr>
          <w:noProof/>
          <w:sz w:val="24"/>
          <w:szCs w:val="24"/>
          <w:lang w:val="en-US"/>
        </w:rPr>
        <w:t>Kampüs içerisine şiddet ve taciz durumları için S.</w:t>
      </w:r>
      <w:r w:rsidR="00723C81" w:rsidRPr="00FB3026">
        <w:rPr>
          <w:noProof/>
          <w:sz w:val="24"/>
          <w:szCs w:val="24"/>
          <w:lang w:val="en-US"/>
        </w:rPr>
        <w:t>O.S telefonlarının yerleştirilme</w:t>
      </w:r>
      <w:r w:rsidRPr="00FB3026">
        <w:rPr>
          <w:noProof/>
          <w:sz w:val="24"/>
          <w:szCs w:val="24"/>
          <w:lang w:val="en-US"/>
        </w:rPr>
        <w:t>si.</w:t>
      </w:r>
      <w:r w:rsidR="00723C81" w:rsidRPr="00FB3026">
        <w:rPr>
          <w:noProof/>
          <w:sz w:val="24"/>
          <w:szCs w:val="24"/>
          <w:lang w:val="en-US"/>
        </w:rPr>
        <w:t xml:space="preserve"> </w:t>
      </w:r>
      <w:r w:rsidRPr="00FB3026">
        <w:rPr>
          <w:noProof/>
          <w:sz w:val="24"/>
          <w:szCs w:val="24"/>
          <w:lang w:val="en-US"/>
        </w:rPr>
        <w:t>(Telefon direkt santrale bağlı olduğundan santraldaki memurların eğitimli olması şart.)</w:t>
      </w:r>
    </w:p>
    <w:p w:rsidR="00D561A6" w:rsidRPr="00FB3026" w:rsidRDefault="00A24709" w:rsidP="00723C81">
      <w:pPr>
        <w:pStyle w:val="ListParagraph"/>
        <w:numPr>
          <w:ilvl w:val="0"/>
          <w:numId w:val="3"/>
        </w:numPr>
        <w:ind w:left="284" w:firstLine="0"/>
        <w:jc w:val="both"/>
        <w:rPr>
          <w:noProof/>
          <w:sz w:val="24"/>
          <w:szCs w:val="24"/>
          <w:lang w:val="en-US"/>
        </w:rPr>
      </w:pPr>
      <w:r w:rsidRPr="00FB3026">
        <w:rPr>
          <w:noProof/>
          <w:sz w:val="24"/>
          <w:szCs w:val="24"/>
          <w:lang w:val="en-US"/>
        </w:rPr>
        <w:t xml:space="preserve">Merkezlerin veya birimlerin yönergelerine, soruşturma </w:t>
      </w:r>
      <w:r w:rsidR="00D561A6" w:rsidRPr="00FB3026">
        <w:rPr>
          <w:noProof/>
          <w:sz w:val="24"/>
          <w:szCs w:val="24"/>
          <w:lang w:val="en-US"/>
        </w:rPr>
        <w:t xml:space="preserve">ve disiplin </w:t>
      </w:r>
      <w:r w:rsidRPr="00FB3026">
        <w:rPr>
          <w:noProof/>
          <w:sz w:val="24"/>
          <w:szCs w:val="24"/>
          <w:lang w:val="en-US"/>
        </w:rPr>
        <w:t>kurulu</w:t>
      </w:r>
      <w:r w:rsidR="00D561A6" w:rsidRPr="00FB3026">
        <w:rPr>
          <w:noProof/>
          <w:sz w:val="24"/>
          <w:szCs w:val="24"/>
          <w:lang w:val="en-US"/>
        </w:rPr>
        <w:t>/komisyonu</w:t>
      </w:r>
      <w:r w:rsidRPr="00FB3026">
        <w:rPr>
          <w:noProof/>
          <w:sz w:val="24"/>
          <w:szCs w:val="24"/>
          <w:lang w:val="en-US"/>
        </w:rPr>
        <w:t xml:space="preserve">nda en az iki kişinin bulunması </w:t>
      </w:r>
      <w:r w:rsidR="00773D66" w:rsidRPr="00FB3026">
        <w:rPr>
          <w:noProof/>
          <w:sz w:val="24"/>
          <w:szCs w:val="24"/>
          <w:lang w:val="en-US"/>
        </w:rPr>
        <w:t>maddesini eklemeleri</w:t>
      </w:r>
      <w:r w:rsidR="00FB3026" w:rsidRPr="00FB3026">
        <w:rPr>
          <w:noProof/>
          <w:sz w:val="24"/>
          <w:szCs w:val="24"/>
          <w:lang w:val="en-US"/>
        </w:rPr>
        <w:t xml:space="preserve"> önemlidir</w:t>
      </w:r>
      <w:r w:rsidR="00773D66" w:rsidRPr="00FB3026">
        <w:rPr>
          <w:noProof/>
          <w:sz w:val="24"/>
          <w:szCs w:val="24"/>
          <w:lang w:val="en-US"/>
        </w:rPr>
        <w:t>.</w:t>
      </w:r>
    </w:p>
    <w:p w:rsidR="00CB7E8A" w:rsidRPr="00FB3026" w:rsidRDefault="00401D50" w:rsidP="00723C81">
      <w:pPr>
        <w:pStyle w:val="ListParagraph"/>
        <w:ind w:left="284"/>
        <w:jc w:val="both"/>
        <w:rPr>
          <w:noProof/>
          <w:sz w:val="24"/>
          <w:szCs w:val="24"/>
          <w:lang w:val="en-US"/>
        </w:rPr>
      </w:pPr>
      <w:r w:rsidRPr="00FB3026">
        <w:rPr>
          <w:noProof/>
          <w:sz w:val="24"/>
          <w:szCs w:val="24"/>
          <w:lang w:val="en-US"/>
        </w:rPr>
        <w:t>Bu</w:t>
      </w:r>
      <w:r w:rsidR="00CB7E8A" w:rsidRPr="00FB3026">
        <w:rPr>
          <w:noProof/>
          <w:sz w:val="24"/>
          <w:szCs w:val="24"/>
          <w:lang w:val="en-US"/>
        </w:rPr>
        <w:t xml:space="preserve"> madde mağdurun daha iyi temsiliyeti, korunması ve suçlunun doğru şekilde ve derecede cezalandırılması açısından önemlidir. </w:t>
      </w:r>
      <w:r w:rsidR="0069050B" w:rsidRPr="00FB3026">
        <w:rPr>
          <w:noProof/>
          <w:sz w:val="24"/>
          <w:szCs w:val="24"/>
          <w:lang w:val="en-US"/>
        </w:rPr>
        <w:t>Böylece CTS biriminin kararları da rektörlük tarafından ciddiye alınır.</w:t>
      </w:r>
    </w:p>
    <w:p w:rsidR="00DA4072" w:rsidRPr="00FB3026" w:rsidRDefault="00DA4072" w:rsidP="00723C81">
      <w:pPr>
        <w:pStyle w:val="ListParagraph"/>
        <w:ind w:left="284"/>
        <w:jc w:val="both"/>
        <w:rPr>
          <w:noProof/>
          <w:sz w:val="24"/>
          <w:szCs w:val="24"/>
          <w:lang w:val="en-US"/>
        </w:rPr>
      </w:pPr>
    </w:p>
    <w:p w:rsidR="00DA4072" w:rsidRPr="00FB3026" w:rsidRDefault="0069050B" w:rsidP="00723C81">
      <w:pPr>
        <w:pStyle w:val="ListParagraph"/>
        <w:numPr>
          <w:ilvl w:val="0"/>
          <w:numId w:val="5"/>
        </w:numPr>
        <w:ind w:left="284" w:firstLine="0"/>
        <w:jc w:val="both"/>
        <w:rPr>
          <w:noProof/>
          <w:sz w:val="24"/>
          <w:szCs w:val="24"/>
          <w:lang w:val="en-US"/>
        </w:rPr>
      </w:pPr>
      <w:r w:rsidRPr="00FB3026">
        <w:rPr>
          <w:noProof/>
          <w:sz w:val="24"/>
          <w:szCs w:val="24"/>
          <w:lang w:val="en-US"/>
        </w:rPr>
        <w:t>Birim veya merkezlerin Politika Belgeleri ve Yönergelerinin olması, bunların detaylı maddeler içermesi çok önemli</w:t>
      </w:r>
      <w:r w:rsidR="00FB3026" w:rsidRPr="00FB3026">
        <w:rPr>
          <w:noProof/>
          <w:sz w:val="24"/>
          <w:szCs w:val="24"/>
          <w:lang w:val="en-US"/>
        </w:rPr>
        <w:t>dir</w:t>
      </w:r>
      <w:r w:rsidRPr="00FB3026">
        <w:rPr>
          <w:noProof/>
          <w:sz w:val="24"/>
          <w:szCs w:val="24"/>
          <w:lang w:val="en-US"/>
        </w:rPr>
        <w:t>.</w:t>
      </w:r>
    </w:p>
    <w:p w:rsidR="00121D07" w:rsidRPr="00FB3026" w:rsidRDefault="00121D07" w:rsidP="00723C81">
      <w:pPr>
        <w:pStyle w:val="ListParagraph"/>
        <w:ind w:left="284"/>
        <w:jc w:val="both"/>
        <w:rPr>
          <w:noProof/>
          <w:sz w:val="24"/>
          <w:szCs w:val="24"/>
          <w:lang w:val="en-US"/>
        </w:rPr>
      </w:pPr>
    </w:p>
    <w:p w:rsidR="0069050B" w:rsidRPr="00FB3026" w:rsidRDefault="0069050B" w:rsidP="00723C81">
      <w:pPr>
        <w:pStyle w:val="ListParagraph"/>
        <w:numPr>
          <w:ilvl w:val="0"/>
          <w:numId w:val="5"/>
        </w:numPr>
        <w:ind w:left="284" w:firstLine="0"/>
        <w:jc w:val="both"/>
        <w:rPr>
          <w:noProof/>
          <w:sz w:val="24"/>
          <w:szCs w:val="24"/>
          <w:lang w:val="en-US"/>
        </w:rPr>
      </w:pPr>
      <w:r w:rsidRPr="00FB3026">
        <w:rPr>
          <w:noProof/>
          <w:sz w:val="24"/>
          <w:szCs w:val="24"/>
          <w:lang w:val="en-US"/>
        </w:rPr>
        <w:t xml:space="preserve">Bir vaka alındığında mağdura yeterli psikolojik desteğin süreç boyunca ve </w:t>
      </w:r>
      <w:r w:rsidR="00FB3026" w:rsidRPr="00FB3026">
        <w:rPr>
          <w:noProof/>
          <w:sz w:val="24"/>
          <w:szCs w:val="24"/>
          <w:lang w:val="en-US"/>
        </w:rPr>
        <w:t xml:space="preserve">süreç </w:t>
      </w:r>
      <w:r w:rsidRPr="00FB3026">
        <w:rPr>
          <w:noProof/>
          <w:sz w:val="24"/>
          <w:szCs w:val="24"/>
          <w:lang w:val="en-US"/>
        </w:rPr>
        <w:t xml:space="preserve">sonlandıktan sonra da belli  bir süre boyunca bu desteği sağlayabilmek, hukuki destek verebilmek ve tüm bunların gizlilik çerçevesi altında yapılması çok önemli. </w:t>
      </w:r>
    </w:p>
    <w:p w:rsidR="00C13A70" w:rsidRPr="00FB3026" w:rsidRDefault="00C13A70" w:rsidP="00723C81">
      <w:pPr>
        <w:pStyle w:val="ListParagraph"/>
        <w:ind w:left="284"/>
        <w:jc w:val="both"/>
        <w:rPr>
          <w:noProof/>
          <w:sz w:val="24"/>
          <w:szCs w:val="24"/>
          <w:lang w:val="en-US"/>
        </w:rPr>
      </w:pPr>
    </w:p>
    <w:p w:rsidR="00D561A6" w:rsidRPr="00FB3026" w:rsidRDefault="00D561A6" w:rsidP="00723C81">
      <w:pPr>
        <w:pStyle w:val="ListParagraph"/>
        <w:numPr>
          <w:ilvl w:val="0"/>
          <w:numId w:val="5"/>
        </w:numPr>
        <w:ind w:left="284" w:firstLine="0"/>
        <w:jc w:val="both"/>
        <w:rPr>
          <w:noProof/>
          <w:sz w:val="24"/>
          <w:szCs w:val="24"/>
          <w:lang w:val="en-US"/>
        </w:rPr>
      </w:pPr>
      <w:r w:rsidRPr="00FB3026">
        <w:rPr>
          <w:noProof/>
          <w:sz w:val="24"/>
          <w:szCs w:val="24"/>
          <w:lang w:val="en-US"/>
        </w:rPr>
        <w:t>Mağdurun psikolojisi açısından aynı şeyleri ona tekrar tekrar anlattırmak, hasar vermek yerine</w:t>
      </w:r>
      <w:r w:rsidR="00FB3026" w:rsidRPr="00FB3026">
        <w:rPr>
          <w:noProof/>
          <w:sz w:val="24"/>
          <w:szCs w:val="24"/>
          <w:lang w:val="en-US"/>
        </w:rPr>
        <w:t>, yazılı</w:t>
      </w:r>
      <w:r w:rsidRPr="00FB3026">
        <w:rPr>
          <w:noProof/>
          <w:sz w:val="24"/>
          <w:szCs w:val="24"/>
          <w:lang w:val="en-US"/>
        </w:rPr>
        <w:t xml:space="preserve"> tutanaklar tutulmalıdır.</w:t>
      </w:r>
    </w:p>
    <w:p w:rsidR="0088622E" w:rsidRPr="00FB3026" w:rsidRDefault="0088622E" w:rsidP="00723C81">
      <w:pPr>
        <w:pStyle w:val="ListParagraph"/>
        <w:ind w:left="284"/>
        <w:jc w:val="both"/>
        <w:rPr>
          <w:noProof/>
          <w:sz w:val="24"/>
          <w:szCs w:val="24"/>
          <w:lang w:val="en-US"/>
        </w:rPr>
      </w:pPr>
    </w:p>
    <w:p w:rsidR="0088622E" w:rsidRPr="00FB3026" w:rsidRDefault="00D561A6" w:rsidP="00723C81">
      <w:pPr>
        <w:pStyle w:val="ListParagraph"/>
        <w:numPr>
          <w:ilvl w:val="0"/>
          <w:numId w:val="5"/>
        </w:numPr>
        <w:ind w:left="284" w:firstLine="0"/>
        <w:jc w:val="both"/>
        <w:rPr>
          <w:noProof/>
          <w:sz w:val="24"/>
          <w:szCs w:val="24"/>
          <w:lang w:val="en-US"/>
        </w:rPr>
      </w:pPr>
      <w:r w:rsidRPr="00FB3026">
        <w:rPr>
          <w:noProof/>
          <w:sz w:val="24"/>
          <w:szCs w:val="24"/>
          <w:lang w:val="en-US"/>
        </w:rPr>
        <w:t xml:space="preserve">Darp mevcut ise </w:t>
      </w:r>
      <w:r w:rsidR="00710072" w:rsidRPr="00FB3026">
        <w:rPr>
          <w:noProof/>
          <w:sz w:val="24"/>
          <w:szCs w:val="24"/>
          <w:lang w:val="en-US"/>
        </w:rPr>
        <w:t>hastaneden raporu alınmalıdır. O</w:t>
      </w:r>
      <w:r w:rsidRPr="00FB3026">
        <w:rPr>
          <w:noProof/>
          <w:sz w:val="24"/>
          <w:szCs w:val="24"/>
          <w:lang w:val="en-US"/>
        </w:rPr>
        <w:t>lay kampüs</w:t>
      </w:r>
      <w:r w:rsidR="00710072" w:rsidRPr="00FB3026">
        <w:rPr>
          <w:noProof/>
          <w:sz w:val="24"/>
          <w:szCs w:val="24"/>
          <w:lang w:val="en-US"/>
        </w:rPr>
        <w:t xml:space="preserve"> </w:t>
      </w:r>
      <w:r w:rsidRPr="00FB3026">
        <w:rPr>
          <w:noProof/>
          <w:sz w:val="24"/>
          <w:szCs w:val="24"/>
          <w:lang w:val="en-US"/>
        </w:rPr>
        <w:t xml:space="preserve">içerisinde gerçekleşmişse güvenlikten bu veriler tutanaklar alınmalıdır. </w:t>
      </w:r>
      <w:r w:rsidR="00710072" w:rsidRPr="00FB3026">
        <w:rPr>
          <w:noProof/>
          <w:sz w:val="24"/>
          <w:szCs w:val="24"/>
          <w:lang w:val="en-US"/>
        </w:rPr>
        <w:t>E</w:t>
      </w:r>
      <w:r w:rsidR="00085336" w:rsidRPr="00FB3026">
        <w:rPr>
          <w:noProof/>
          <w:sz w:val="24"/>
          <w:szCs w:val="24"/>
          <w:lang w:val="en-US"/>
        </w:rPr>
        <w:t>ğer olay ka</w:t>
      </w:r>
      <w:r w:rsidR="00C13A70" w:rsidRPr="00FB3026">
        <w:rPr>
          <w:noProof/>
          <w:sz w:val="24"/>
          <w:szCs w:val="24"/>
          <w:lang w:val="en-US"/>
        </w:rPr>
        <w:t>mpüs dışında olmuşsa polisten rapor alınmalıdır. Şikayetler yazılı  olarak t</w:t>
      </w:r>
      <w:r w:rsidR="00401D50" w:rsidRPr="00FB3026">
        <w:rPr>
          <w:noProof/>
          <w:sz w:val="24"/>
          <w:szCs w:val="24"/>
          <w:lang w:val="en-US"/>
        </w:rPr>
        <w:t xml:space="preserve">utanakla birlikte sunulmalıdır. </w:t>
      </w:r>
    </w:p>
    <w:p w:rsidR="00710072" w:rsidRPr="00FB3026" w:rsidRDefault="00710072" w:rsidP="00710072">
      <w:pPr>
        <w:pStyle w:val="ListParagraph"/>
        <w:ind w:left="284"/>
        <w:jc w:val="both"/>
        <w:rPr>
          <w:noProof/>
          <w:sz w:val="24"/>
          <w:szCs w:val="24"/>
          <w:lang w:val="en-US"/>
        </w:rPr>
      </w:pPr>
    </w:p>
    <w:p w:rsidR="00D561A6" w:rsidRPr="00FB3026" w:rsidRDefault="00401D50" w:rsidP="00723C81">
      <w:pPr>
        <w:pStyle w:val="ListParagraph"/>
        <w:numPr>
          <w:ilvl w:val="0"/>
          <w:numId w:val="5"/>
        </w:numPr>
        <w:ind w:left="284" w:firstLine="0"/>
        <w:jc w:val="both"/>
        <w:rPr>
          <w:noProof/>
          <w:sz w:val="24"/>
          <w:szCs w:val="24"/>
          <w:lang w:val="en-US"/>
        </w:rPr>
      </w:pPr>
      <w:r w:rsidRPr="00FB3026">
        <w:rPr>
          <w:noProof/>
          <w:sz w:val="24"/>
          <w:szCs w:val="24"/>
          <w:lang w:val="en-US"/>
        </w:rPr>
        <w:t>D</w:t>
      </w:r>
      <w:r w:rsidR="00C13A70" w:rsidRPr="00FB3026">
        <w:rPr>
          <w:noProof/>
          <w:sz w:val="24"/>
          <w:szCs w:val="24"/>
          <w:lang w:val="en-US"/>
        </w:rPr>
        <w:t xml:space="preserve">isiplin kurulu dışında baka bir birim veya kişi bu şikayeti sorgulayama veya inceleme hakkına sahip değildir. </w:t>
      </w:r>
    </w:p>
    <w:p w:rsidR="00D561A6" w:rsidRPr="00FB3026" w:rsidRDefault="00D561A6" w:rsidP="00723C81">
      <w:pPr>
        <w:pStyle w:val="ListParagraph"/>
        <w:ind w:left="284"/>
        <w:jc w:val="both"/>
        <w:rPr>
          <w:noProof/>
          <w:sz w:val="24"/>
          <w:szCs w:val="24"/>
          <w:lang w:val="en-US"/>
        </w:rPr>
      </w:pPr>
    </w:p>
    <w:p w:rsidR="00711CAC" w:rsidRPr="00FB3026" w:rsidRDefault="00D561A6" w:rsidP="00723C81">
      <w:pPr>
        <w:pStyle w:val="ListParagraph"/>
        <w:numPr>
          <w:ilvl w:val="0"/>
          <w:numId w:val="5"/>
        </w:numPr>
        <w:ind w:left="284" w:firstLine="0"/>
        <w:jc w:val="both"/>
        <w:rPr>
          <w:noProof/>
          <w:sz w:val="24"/>
          <w:szCs w:val="24"/>
          <w:lang w:val="en-US"/>
        </w:rPr>
      </w:pPr>
      <w:r w:rsidRPr="00FB3026">
        <w:rPr>
          <w:noProof/>
          <w:sz w:val="24"/>
          <w:szCs w:val="24"/>
          <w:lang w:val="en-US"/>
        </w:rPr>
        <w:t>Vaka geldiğinde mağdurdun söyledikleri doğru ka</w:t>
      </w:r>
      <w:r w:rsidR="00710072" w:rsidRPr="00FB3026">
        <w:rPr>
          <w:noProof/>
          <w:sz w:val="24"/>
          <w:szCs w:val="24"/>
          <w:lang w:val="en-US"/>
        </w:rPr>
        <w:t>bul edilerek süreç başlatılır. B</w:t>
      </w:r>
      <w:r w:rsidRPr="00FB3026">
        <w:rPr>
          <w:noProof/>
          <w:sz w:val="24"/>
          <w:szCs w:val="24"/>
          <w:lang w:val="en-US"/>
        </w:rPr>
        <w:t>u beyan yanlış çıktığı taktirde birimin veya merkezin bir yükümlülüğü yoktur.</w:t>
      </w:r>
    </w:p>
    <w:p w:rsidR="00710072" w:rsidRPr="00FB3026" w:rsidRDefault="00710072" w:rsidP="00710072">
      <w:pPr>
        <w:pStyle w:val="ListParagraph"/>
        <w:ind w:left="426"/>
        <w:rPr>
          <w:noProof/>
          <w:sz w:val="24"/>
          <w:szCs w:val="24"/>
          <w:lang w:val="en-US"/>
        </w:rPr>
      </w:pPr>
    </w:p>
    <w:p w:rsidR="0088622E" w:rsidRPr="00FB3026" w:rsidRDefault="00FB3026" w:rsidP="00FB3026">
      <w:pPr>
        <w:rPr>
          <w:rFonts w:asciiTheme="majorHAnsi" w:hAnsiTheme="majorHAnsi"/>
          <w:b/>
          <w:sz w:val="24"/>
          <w:szCs w:val="24"/>
        </w:rPr>
      </w:pPr>
      <w:r w:rsidRPr="00FB3026">
        <w:rPr>
          <w:rFonts w:asciiTheme="majorHAnsi" w:hAnsiTheme="majorHAnsi"/>
          <w:b/>
          <w:sz w:val="24"/>
          <w:szCs w:val="24"/>
        </w:rPr>
        <w:t xml:space="preserve">Birimlerin/merkezlerin  veya bu yolda ilerleyen üniversitelerin </w:t>
      </w:r>
      <w:r w:rsidRPr="00FB3026">
        <w:rPr>
          <w:rFonts w:asciiTheme="majorHAnsi" w:hAnsiTheme="majorHAnsi"/>
          <w:b/>
          <w:noProof/>
          <w:sz w:val="24"/>
          <w:szCs w:val="24"/>
          <w:lang w:val="en-US"/>
        </w:rPr>
        <w:t>karşılaştığı</w:t>
      </w:r>
      <w:r w:rsidR="00710072" w:rsidRPr="00FB3026">
        <w:rPr>
          <w:rFonts w:asciiTheme="majorHAnsi" w:hAnsiTheme="majorHAnsi"/>
          <w:b/>
          <w:noProof/>
          <w:sz w:val="24"/>
          <w:szCs w:val="24"/>
          <w:lang w:val="en-US"/>
        </w:rPr>
        <w:t xml:space="preserve"> sıkıntılar;</w:t>
      </w:r>
    </w:p>
    <w:p w:rsidR="00710072" w:rsidRPr="00FB3026" w:rsidRDefault="00710072" w:rsidP="00BB4558">
      <w:pPr>
        <w:pStyle w:val="ListParagraph"/>
        <w:ind w:left="426"/>
        <w:jc w:val="both"/>
        <w:rPr>
          <w:noProof/>
          <w:sz w:val="24"/>
          <w:szCs w:val="24"/>
          <w:lang w:val="en-US"/>
        </w:rPr>
      </w:pPr>
    </w:p>
    <w:p w:rsidR="00096490" w:rsidRPr="00FB3026" w:rsidRDefault="00710072" w:rsidP="00710072">
      <w:pPr>
        <w:pStyle w:val="ListParagraph"/>
        <w:numPr>
          <w:ilvl w:val="0"/>
          <w:numId w:val="6"/>
        </w:numPr>
        <w:jc w:val="both"/>
        <w:rPr>
          <w:noProof/>
          <w:sz w:val="24"/>
          <w:szCs w:val="24"/>
          <w:lang w:val="en-US"/>
        </w:rPr>
      </w:pPr>
      <w:r w:rsidRPr="00FB3026">
        <w:rPr>
          <w:noProof/>
          <w:sz w:val="24"/>
          <w:szCs w:val="24"/>
          <w:lang w:val="en-US"/>
        </w:rPr>
        <w:t>Merkezler/ Birimler</w:t>
      </w:r>
      <w:r w:rsidR="00FB3026">
        <w:rPr>
          <w:noProof/>
          <w:sz w:val="24"/>
          <w:szCs w:val="24"/>
          <w:lang w:val="en-US"/>
        </w:rPr>
        <w:t xml:space="preserve"> / üniversiteler</w:t>
      </w:r>
      <w:r w:rsidRPr="00FB3026">
        <w:rPr>
          <w:noProof/>
          <w:sz w:val="24"/>
          <w:szCs w:val="24"/>
          <w:lang w:val="en-US"/>
        </w:rPr>
        <w:t xml:space="preserve"> bazı vakalarda Avukat bulmakta sıkıntı yaşıyor.</w:t>
      </w:r>
    </w:p>
    <w:p w:rsidR="00710072" w:rsidRPr="00FB3026" w:rsidRDefault="00710072" w:rsidP="00057690">
      <w:pPr>
        <w:pStyle w:val="ListParagraph"/>
        <w:ind w:left="0"/>
        <w:jc w:val="both"/>
        <w:rPr>
          <w:noProof/>
          <w:sz w:val="24"/>
          <w:szCs w:val="24"/>
          <w:lang w:val="en-US"/>
        </w:rPr>
      </w:pPr>
    </w:p>
    <w:p w:rsidR="00DA4072" w:rsidRDefault="00710072" w:rsidP="00710072">
      <w:pPr>
        <w:pStyle w:val="ListParagraph"/>
        <w:numPr>
          <w:ilvl w:val="0"/>
          <w:numId w:val="6"/>
        </w:numPr>
        <w:jc w:val="both"/>
        <w:rPr>
          <w:noProof/>
          <w:sz w:val="24"/>
          <w:szCs w:val="24"/>
          <w:lang w:val="en-US"/>
        </w:rPr>
      </w:pPr>
      <w:r w:rsidRPr="00FB3026">
        <w:rPr>
          <w:noProof/>
          <w:sz w:val="24"/>
          <w:szCs w:val="24"/>
          <w:lang w:val="en-US"/>
        </w:rPr>
        <w:t>Merkezler/ Birimler</w:t>
      </w:r>
      <w:r w:rsidR="00FB3026">
        <w:rPr>
          <w:noProof/>
          <w:sz w:val="24"/>
          <w:szCs w:val="24"/>
          <w:lang w:val="en-US"/>
        </w:rPr>
        <w:t>/ üniversiteler</w:t>
      </w:r>
      <w:r w:rsidRPr="00FB3026">
        <w:rPr>
          <w:noProof/>
          <w:sz w:val="24"/>
          <w:szCs w:val="24"/>
          <w:lang w:val="en-US"/>
        </w:rPr>
        <w:t xml:space="preserve"> öğrencil</w:t>
      </w:r>
      <w:r w:rsidR="0088622E" w:rsidRPr="00FB3026">
        <w:rPr>
          <w:noProof/>
          <w:sz w:val="24"/>
          <w:szCs w:val="24"/>
          <w:lang w:val="en-US"/>
        </w:rPr>
        <w:t>e</w:t>
      </w:r>
      <w:r w:rsidRPr="00FB3026">
        <w:rPr>
          <w:noProof/>
          <w:sz w:val="24"/>
          <w:szCs w:val="24"/>
          <w:lang w:val="en-US"/>
        </w:rPr>
        <w:t>re</w:t>
      </w:r>
      <w:r w:rsidR="00F854D6">
        <w:rPr>
          <w:noProof/>
          <w:sz w:val="24"/>
          <w:szCs w:val="24"/>
          <w:lang w:val="en-US"/>
        </w:rPr>
        <w:t xml:space="preserve"> konu ile ilgili</w:t>
      </w:r>
      <w:r w:rsidRPr="00FB3026">
        <w:rPr>
          <w:noProof/>
          <w:sz w:val="24"/>
          <w:szCs w:val="24"/>
          <w:lang w:val="en-US"/>
        </w:rPr>
        <w:t xml:space="preserve"> anket uygulamasını</w:t>
      </w:r>
      <w:r w:rsidR="0088622E" w:rsidRPr="00FB3026">
        <w:rPr>
          <w:noProof/>
          <w:sz w:val="24"/>
          <w:szCs w:val="24"/>
          <w:lang w:val="en-US"/>
        </w:rPr>
        <w:t xml:space="preserve"> </w:t>
      </w:r>
      <w:r w:rsidR="002A29AC" w:rsidRPr="00FB3026">
        <w:rPr>
          <w:noProof/>
          <w:sz w:val="24"/>
          <w:szCs w:val="24"/>
          <w:lang w:val="en-US"/>
        </w:rPr>
        <w:t xml:space="preserve"> yaptırmak</w:t>
      </w:r>
      <w:r w:rsidRPr="00FB3026">
        <w:rPr>
          <w:noProof/>
          <w:sz w:val="24"/>
          <w:szCs w:val="24"/>
          <w:lang w:val="en-US"/>
        </w:rPr>
        <w:t>ta</w:t>
      </w:r>
      <w:r w:rsidR="002A29AC" w:rsidRPr="00FB3026">
        <w:rPr>
          <w:noProof/>
          <w:sz w:val="24"/>
          <w:szCs w:val="24"/>
          <w:lang w:val="en-US"/>
        </w:rPr>
        <w:t xml:space="preserve"> güç</w:t>
      </w:r>
      <w:r w:rsidRPr="00FB3026">
        <w:rPr>
          <w:noProof/>
          <w:sz w:val="24"/>
          <w:szCs w:val="24"/>
          <w:lang w:val="en-US"/>
        </w:rPr>
        <w:t>lük çekiyor.</w:t>
      </w:r>
    </w:p>
    <w:p w:rsidR="00FB3026" w:rsidRDefault="00FB3026" w:rsidP="00FB3026">
      <w:pPr>
        <w:pStyle w:val="ListParagraph"/>
        <w:jc w:val="both"/>
        <w:rPr>
          <w:noProof/>
          <w:sz w:val="24"/>
          <w:szCs w:val="24"/>
          <w:lang w:val="en-US"/>
        </w:rPr>
      </w:pPr>
    </w:p>
    <w:p w:rsidR="00EC5DD8" w:rsidRPr="00F854D6" w:rsidRDefault="00FB3026" w:rsidP="00F854D6">
      <w:pPr>
        <w:pStyle w:val="ListParagraph"/>
        <w:numPr>
          <w:ilvl w:val="0"/>
          <w:numId w:val="6"/>
        </w:numPr>
        <w:jc w:val="both"/>
        <w:rPr>
          <w:noProof/>
          <w:sz w:val="24"/>
          <w:szCs w:val="24"/>
          <w:lang w:val="en-US"/>
        </w:rPr>
      </w:pPr>
      <w:r w:rsidRPr="00FB3026">
        <w:rPr>
          <w:noProof/>
          <w:sz w:val="24"/>
          <w:szCs w:val="24"/>
          <w:lang w:val="en-US"/>
        </w:rPr>
        <w:t>Merkezler/ Birimler</w:t>
      </w:r>
      <w:r>
        <w:rPr>
          <w:noProof/>
          <w:sz w:val="24"/>
          <w:szCs w:val="24"/>
          <w:lang w:val="en-US"/>
        </w:rPr>
        <w:t xml:space="preserve"> / üniversiteler </w:t>
      </w:r>
      <w:r w:rsidR="00EC5DD8">
        <w:rPr>
          <w:noProof/>
          <w:sz w:val="24"/>
          <w:szCs w:val="24"/>
          <w:lang w:val="en-US"/>
        </w:rPr>
        <w:t xml:space="preserve">Toplumsal Cinsiyet dersini </w:t>
      </w:r>
      <w:r w:rsidR="00F854D6">
        <w:rPr>
          <w:noProof/>
          <w:sz w:val="24"/>
          <w:szCs w:val="24"/>
          <w:lang w:val="en-US"/>
        </w:rPr>
        <w:t xml:space="preserve">açmayı kabulettirmekte ve dersi </w:t>
      </w:r>
      <w:r w:rsidR="00EC5DD8" w:rsidRPr="00F854D6">
        <w:rPr>
          <w:noProof/>
          <w:sz w:val="24"/>
          <w:szCs w:val="24"/>
          <w:lang w:val="en-US"/>
        </w:rPr>
        <w:t>vere</w:t>
      </w:r>
      <w:r w:rsidR="00215679">
        <w:rPr>
          <w:noProof/>
          <w:sz w:val="24"/>
          <w:szCs w:val="24"/>
          <w:lang w:val="en-US"/>
        </w:rPr>
        <w:t>bile</w:t>
      </w:r>
      <w:r w:rsidR="00EC5DD8" w:rsidRPr="00F854D6">
        <w:rPr>
          <w:noProof/>
          <w:sz w:val="24"/>
          <w:szCs w:val="24"/>
          <w:lang w:val="en-US"/>
        </w:rPr>
        <w:t xml:space="preserve">cek </w:t>
      </w:r>
      <w:r w:rsidR="00F854D6">
        <w:rPr>
          <w:noProof/>
          <w:sz w:val="24"/>
          <w:szCs w:val="24"/>
          <w:lang w:val="en-US"/>
        </w:rPr>
        <w:t xml:space="preserve">alan uzmanı </w:t>
      </w:r>
      <w:r w:rsidR="00EC5DD8" w:rsidRPr="00F854D6">
        <w:rPr>
          <w:noProof/>
          <w:sz w:val="24"/>
          <w:szCs w:val="24"/>
          <w:lang w:val="en-US"/>
        </w:rPr>
        <w:t>bulmakta sıkıntı yaşıyor.</w:t>
      </w:r>
    </w:p>
    <w:p w:rsidR="00EC5DD8" w:rsidRDefault="00EC5DD8" w:rsidP="00EC5DD8">
      <w:pPr>
        <w:pStyle w:val="ListParagraph"/>
        <w:jc w:val="both"/>
        <w:rPr>
          <w:noProof/>
          <w:sz w:val="24"/>
          <w:szCs w:val="24"/>
          <w:lang w:val="en-US"/>
        </w:rPr>
      </w:pPr>
    </w:p>
    <w:p w:rsidR="00FB3026" w:rsidRPr="00EC5DD8" w:rsidRDefault="00EC5DD8" w:rsidP="00EC5DD8">
      <w:pPr>
        <w:jc w:val="both"/>
        <w:rPr>
          <w:noProof/>
          <w:sz w:val="24"/>
          <w:szCs w:val="24"/>
          <w:lang w:val="en-US"/>
        </w:rPr>
      </w:pPr>
      <w:r w:rsidRPr="00EC5DD8">
        <w:rPr>
          <w:noProof/>
          <w:sz w:val="24"/>
          <w:szCs w:val="24"/>
          <w:lang w:val="en-US"/>
        </w:rPr>
        <w:lastRenderedPageBreak/>
        <w:t xml:space="preserve"> </w:t>
      </w:r>
    </w:p>
    <w:p w:rsidR="002A29AC" w:rsidRPr="00096490" w:rsidRDefault="002A29AC" w:rsidP="00057690">
      <w:pPr>
        <w:pStyle w:val="ListParagraph"/>
        <w:ind w:left="0"/>
        <w:jc w:val="both"/>
        <w:rPr>
          <w:noProof/>
          <w:sz w:val="22"/>
          <w:highlight w:val="yellow"/>
          <w:lang w:val="en-US"/>
        </w:rPr>
      </w:pPr>
    </w:p>
    <w:sectPr w:rsidR="002A29AC" w:rsidRPr="00096490" w:rsidSect="00A75C24">
      <w:pgSz w:w="9072" w:h="13325" w:code="1"/>
      <w:pgMar w:top="1417" w:right="1417" w:bottom="1417" w:left="141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T EMU">
    <w:altName w:val="Times New Roman"/>
    <w:charset w:val="A2"/>
    <w:family w:val="auto"/>
    <w:pitch w:val="variable"/>
    <w:sig w:usb0="800000AF" w:usb1="00002048" w:usb2="00000000" w:usb3="00000000" w:csb0="00000013"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28BB"/>
    <w:multiLevelType w:val="hybridMultilevel"/>
    <w:tmpl w:val="1DDC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6143A"/>
    <w:multiLevelType w:val="hybridMultilevel"/>
    <w:tmpl w:val="301C0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094396"/>
    <w:multiLevelType w:val="hybridMultilevel"/>
    <w:tmpl w:val="BC7C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B62FA"/>
    <w:multiLevelType w:val="hybridMultilevel"/>
    <w:tmpl w:val="D2F6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36D0A"/>
    <w:multiLevelType w:val="hybridMultilevel"/>
    <w:tmpl w:val="3698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931CD5"/>
    <w:multiLevelType w:val="hybridMultilevel"/>
    <w:tmpl w:val="18ACFB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24"/>
    <w:rsid w:val="00021F11"/>
    <w:rsid w:val="00032D4D"/>
    <w:rsid w:val="00057690"/>
    <w:rsid w:val="00085336"/>
    <w:rsid w:val="00096490"/>
    <w:rsid w:val="000B115D"/>
    <w:rsid w:val="000E113C"/>
    <w:rsid w:val="000F5AD9"/>
    <w:rsid w:val="001200F9"/>
    <w:rsid w:val="00121D07"/>
    <w:rsid w:val="00170792"/>
    <w:rsid w:val="00191829"/>
    <w:rsid w:val="001C790B"/>
    <w:rsid w:val="00215679"/>
    <w:rsid w:val="002600F8"/>
    <w:rsid w:val="002A29AC"/>
    <w:rsid w:val="002B63C8"/>
    <w:rsid w:val="0031741D"/>
    <w:rsid w:val="00331E93"/>
    <w:rsid w:val="00383985"/>
    <w:rsid w:val="00385C72"/>
    <w:rsid w:val="0039385F"/>
    <w:rsid w:val="0039511B"/>
    <w:rsid w:val="003F0B4C"/>
    <w:rsid w:val="00401D50"/>
    <w:rsid w:val="00480350"/>
    <w:rsid w:val="0049080C"/>
    <w:rsid w:val="004F282C"/>
    <w:rsid w:val="004F45CA"/>
    <w:rsid w:val="00567E98"/>
    <w:rsid w:val="00641855"/>
    <w:rsid w:val="0065667B"/>
    <w:rsid w:val="006609B2"/>
    <w:rsid w:val="0068762B"/>
    <w:rsid w:val="0069050B"/>
    <w:rsid w:val="006A4B07"/>
    <w:rsid w:val="006C1AD6"/>
    <w:rsid w:val="0070474D"/>
    <w:rsid w:val="00710072"/>
    <w:rsid w:val="00711CAC"/>
    <w:rsid w:val="00723C81"/>
    <w:rsid w:val="007241BB"/>
    <w:rsid w:val="00726783"/>
    <w:rsid w:val="00773D66"/>
    <w:rsid w:val="00794D9D"/>
    <w:rsid w:val="007C32A8"/>
    <w:rsid w:val="007D5E1F"/>
    <w:rsid w:val="007D61E4"/>
    <w:rsid w:val="007F5066"/>
    <w:rsid w:val="008249A7"/>
    <w:rsid w:val="008819BE"/>
    <w:rsid w:val="00883DFA"/>
    <w:rsid w:val="0088622E"/>
    <w:rsid w:val="008A34C4"/>
    <w:rsid w:val="008C790E"/>
    <w:rsid w:val="008F0B0D"/>
    <w:rsid w:val="00993614"/>
    <w:rsid w:val="009B015A"/>
    <w:rsid w:val="009F62FC"/>
    <w:rsid w:val="00A11CA4"/>
    <w:rsid w:val="00A24709"/>
    <w:rsid w:val="00A75C24"/>
    <w:rsid w:val="00A9115C"/>
    <w:rsid w:val="00AB07AE"/>
    <w:rsid w:val="00B31E24"/>
    <w:rsid w:val="00B40038"/>
    <w:rsid w:val="00B5456E"/>
    <w:rsid w:val="00B562D2"/>
    <w:rsid w:val="00BB4558"/>
    <w:rsid w:val="00BE4789"/>
    <w:rsid w:val="00C13A70"/>
    <w:rsid w:val="00C13AEB"/>
    <w:rsid w:val="00C32156"/>
    <w:rsid w:val="00C56595"/>
    <w:rsid w:val="00C93311"/>
    <w:rsid w:val="00CB7E8A"/>
    <w:rsid w:val="00CC14AB"/>
    <w:rsid w:val="00CC3505"/>
    <w:rsid w:val="00CD0158"/>
    <w:rsid w:val="00D0683D"/>
    <w:rsid w:val="00D2312A"/>
    <w:rsid w:val="00D25060"/>
    <w:rsid w:val="00D561A6"/>
    <w:rsid w:val="00D57DF9"/>
    <w:rsid w:val="00DA4072"/>
    <w:rsid w:val="00DC6D14"/>
    <w:rsid w:val="00DE4730"/>
    <w:rsid w:val="00DF545D"/>
    <w:rsid w:val="00E164C5"/>
    <w:rsid w:val="00E27158"/>
    <w:rsid w:val="00E4531D"/>
    <w:rsid w:val="00E66899"/>
    <w:rsid w:val="00E82670"/>
    <w:rsid w:val="00EC5DD8"/>
    <w:rsid w:val="00ED0671"/>
    <w:rsid w:val="00EE4537"/>
    <w:rsid w:val="00EF0001"/>
    <w:rsid w:val="00F03155"/>
    <w:rsid w:val="00F45CCC"/>
    <w:rsid w:val="00F854D6"/>
    <w:rsid w:val="00F94182"/>
    <w:rsid w:val="00FB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T EMU" w:eastAsiaTheme="minorHAnsi" w:hAnsi="Futura T EMU"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FC"/>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24"/>
    <w:rPr>
      <w:rFonts w:ascii="Tahoma" w:hAnsi="Tahoma" w:cs="Tahoma"/>
      <w:sz w:val="16"/>
      <w:szCs w:val="16"/>
      <w:lang w:val="tr-TR"/>
    </w:rPr>
  </w:style>
  <w:style w:type="paragraph" w:styleId="NoSpacing">
    <w:name w:val="No Spacing"/>
    <w:link w:val="NoSpacingChar"/>
    <w:uiPriority w:val="1"/>
    <w:qFormat/>
    <w:rsid w:val="00A75C24"/>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75C24"/>
    <w:rPr>
      <w:rFonts w:asciiTheme="minorHAnsi" w:eastAsiaTheme="minorEastAsia" w:hAnsiTheme="minorHAnsi" w:cstheme="minorBidi"/>
      <w:sz w:val="22"/>
      <w:szCs w:val="22"/>
    </w:rPr>
  </w:style>
  <w:style w:type="table" w:styleId="LightShading-Accent4">
    <w:name w:val="Light Shading Accent 4"/>
    <w:basedOn w:val="TableNormal"/>
    <w:uiPriority w:val="60"/>
    <w:rsid w:val="00A75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7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T EMU" w:eastAsiaTheme="minorHAnsi" w:hAnsi="Futura T EMU"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FC"/>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24"/>
    <w:rPr>
      <w:rFonts w:ascii="Tahoma" w:hAnsi="Tahoma" w:cs="Tahoma"/>
      <w:sz w:val="16"/>
      <w:szCs w:val="16"/>
      <w:lang w:val="tr-TR"/>
    </w:rPr>
  </w:style>
  <w:style w:type="paragraph" w:styleId="NoSpacing">
    <w:name w:val="No Spacing"/>
    <w:link w:val="NoSpacingChar"/>
    <w:uiPriority w:val="1"/>
    <w:qFormat/>
    <w:rsid w:val="00A75C24"/>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75C24"/>
    <w:rPr>
      <w:rFonts w:asciiTheme="minorHAnsi" w:eastAsiaTheme="minorEastAsia" w:hAnsiTheme="minorHAnsi" w:cstheme="minorBidi"/>
      <w:sz w:val="22"/>
      <w:szCs w:val="22"/>
    </w:rPr>
  </w:style>
  <w:style w:type="table" w:styleId="LightShading-Accent4">
    <w:name w:val="Light Shading Accent 4"/>
    <w:basedOn w:val="TableNormal"/>
    <w:uiPriority w:val="60"/>
    <w:rsid w:val="00A75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7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Çalıştayda; 29 Mayıs Üniversitesi, Akdeniz Üniversitesi, Ankara Üniversitesi, Boğaziçi Üniversitesi, Çukurova üniversitesi, Dokuz Eylül Üniversitesi, Ege Üniversitesi, Koç Üniversitesi, Eskişehir Osmangazi Üniversitesi, Hacettepe Üniversitesi, İnönü Üniversitesi, İstanbul Teknik Üniversitesi, İzmir Üniversitesi,  Karamanoğlu Mehmet Bey Üniversitesi, Kıbrıs Feminist Atölyesi, Kocaeli Üniversitesi, Sabancı Üniversitesi,  Yalova Üniversitesi’nden katılımcılar yer aldı.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61317-2E38-4F5F-A0B7-52FF6D01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7. CTS Çalıştay Raporu</vt:lpstr>
    </vt:vector>
  </TitlesOfParts>
  <Company>DAÜ</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CTS Çalıştay Raporu</dc:title>
  <dc:subject>‘Üniversitelerde Cinsel Tacizi Engellemek Adına    Neler Yapılabilir?’</dc:subject>
  <dc:creator>Doğu Akdeniz Üniversitesi</dc:creator>
  <cp:lastModifiedBy>eğitim</cp:lastModifiedBy>
  <cp:revision>2</cp:revision>
  <dcterms:created xsi:type="dcterms:W3CDTF">2015-11-20T11:10:00Z</dcterms:created>
  <dcterms:modified xsi:type="dcterms:W3CDTF">2015-11-20T11:10:00Z</dcterms:modified>
</cp:coreProperties>
</file>